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24C58" w:rsidRPr="00071386" w:rsidRDefault="001840DA" w:rsidP="00E402A5">
      <w:pPr>
        <w:tabs>
          <w:tab w:val="left" w:pos="450"/>
        </w:tabs>
        <w:spacing w:after="120" w:line="360" w:lineRule="auto"/>
        <w:jc w:val="both"/>
        <w:rPr>
          <w:rFonts w:ascii="Arial" w:eastAsia="Arial" w:hAnsi="Arial" w:cs="Arial"/>
          <w:b/>
          <w:color w:val="010000"/>
          <w:sz w:val="20"/>
          <w:szCs w:val="20"/>
        </w:rPr>
      </w:pPr>
      <w:r w:rsidRPr="00071386">
        <w:rPr>
          <w:rFonts w:ascii="Arial" w:hAnsi="Arial" w:cs="Arial"/>
          <w:b/>
          <w:bCs/>
          <w:color w:val="010000"/>
          <w:sz w:val="20"/>
        </w:rPr>
        <w:t>SJ1:</w:t>
      </w:r>
      <w:r w:rsidRPr="00071386">
        <w:rPr>
          <w:rFonts w:ascii="Arial" w:hAnsi="Arial" w:cs="Arial"/>
          <w:b/>
          <w:color w:val="010000"/>
          <w:sz w:val="20"/>
        </w:rPr>
        <w:t xml:space="preserve"> Board Resolution</w:t>
      </w:r>
    </w:p>
    <w:p w14:paraId="00000002" w14:textId="77777777" w:rsidR="00724C58" w:rsidRPr="00071386" w:rsidRDefault="001840DA" w:rsidP="00E402A5">
      <w:pPr>
        <w:tabs>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On March 22, 2024, Hung Hau Agricultural Corporation announced Resolution No. 11.2024/NQ-HDQT on carrying out the plan to ensure the share issuance meeting the regulations on the foreign ownership rate as follows:</w:t>
      </w:r>
    </w:p>
    <w:p w14:paraId="00000003" w14:textId="77777777" w:rsidR="00724C58" w:rsidRPr="00071386" w:rsidRDefault="001840DA" w:rsidP="00E402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Article 1: Approve the plan to ens</w:t>
      </w:r>
      <w:bookmarkStart w:id="0" w:name="_GoBack"/>
      <w:bookmarkEnd w:id="0"/>
      <w:r w:rsidRPr="00071386">
        <w:rPr>
          <w:rFonts w:ascii="Arial" w:hAnsi="Arial" w:cs="Arial"/>
          <w:color w:val="010000"/>
          <w:sz w:val="20"/>
        </w:rPr>
        <w:t>ure the share issuance meeting the regulations on the foreign ownership rate at the Corporation, specifically as follows:</w:t>
      </w:r>
    </w:p>
    <w:p w14:paraId="00000004" w14:textId="6228B303" w:rsidR="00724C58" w:rsidRPr="00071386" w:rsidRDefault="001840DA" w:rsidP="00E402A5">
      <w:pPr>
        <w:pStyle w:val="ListParagraph"/>
        <w:numPr>
          <w:ilvl w:val="0"/>
          <w:numId w:val="3"/>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Pursuant to Official Dispatch No. 3624/UBCK-PTTT dated June 13, 2022 of the State Securities Commission on the dossier on announcing the maximum foreign ownership rate at the Corporation, the maximum foreign ownership rate at the Corporation is currently 0% of the charter capital.</w:t>
      </w:r>
    </w:p>
    <w:p w14:paraId="00000006" w14:textId="3403A41C" w:rsidR="00724C58" w:rsidRPr="00071386" w:rsidRDefault="001840DA" w:rsidP="00E402A5">
      <w:pPr>
        <w:numPr>
          <w:ilvl w:val="0"/>
          <w:numId w:val="3"/>
        </w:numPr>
        <w:pBdr>
          <w:top w:val="nil"/>
          <w:left w:val="nil"/>
          <w:bottom w:val="nil"/>
          <w:right w:val="nil"/>
          <w:between w:val="nil"/>
        </w:pBdr>
        <w:tabs>
          <w:tab w:val="left" w:pos="422"/>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O</w:t>
      </w:r>
      <w:r w:rsidR="00071386" w:rsidRPr="00071386">
        <w:rPr>
          <w:rFonts w:ascii="Arial" w:hAnsi="Arial" w:cs="Arial"/>
          <w:color w:val="010000"/>
          <w:sz w:val="20"/>
        </w:rPr>
        <w:t xml:space="preserve">n the record date for </w:t>
      </w:r>
      <w:r w:rsidRPr="00071386">
        <w:rPr>
          <w:rFonts w:ascii="Arial" w:hAnsi="Arial" w:cs="Arial"/>
          <w:color w:val="010000"/>
          <w:sz w:val="20"/>
        </w:rPr>
        <w:t>the list of shareholders as of December 31, 2023, the Corporation had 16 foreign shareholders owning 19,966 shares, accounting for 0.09% of the charter capital.</w:t>
      </w:r>
    </w:p>
    <w:p w14:paraId="00000007" w14:textId="03B95021" w:rsidR="00724C58" w:rsidRPr="00071386" w:rsidRDefault="001840DA" w:rsidP="00E402A5">
      <w:pPr>
        <w:numPr>
          <w:ilvl w:val="0"/>
          <w:numId w:val="3"/>
        </w:numPr>
        <w:pBdr>
          <w:top w:val="nil"/>
          <w:left w:val="nil"/>
          <w:bottom w:val="nil"/>
          <w:right w:val="nil"/>
          <w:between w:val="nil"/>
        </w:pBdr>
        <w:tabs>
          <w:tab w:val="left" w:pos="422"/>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 xml:space="preserve">Therefore, to ensure that the offering of shares in the public offering to existing shareholders does not increase the ownership rate of foreign investors in SJ1 (the maximum foreign ownership rate in SJ1 is 0%), ensuring compliance with the provisions of law, the Board of Directors will coordinate with Vietnam Securities Depository and Clearing Corporation (VSDC) to distribute additional shares to foreign investors in accordance with the </w:t>
      </w:r>
      <w:r w:rsidR="00071386" w:rsidRPr="00071386">
        <w:rPr>
          <w:rFonts w:ascii="Arial" w:hAnsi="Arial" w:cs="Arial"/>
          <w:color w:val="010000"/>
          <w:sz w:val="20"/>
        </w:rPr>
        <w:t>ownership</w:t>
      </w:r>
      <w:r w:rsidRPr="00071386">
        <w:rPr>
          <w:rFonts w:ascii="Arial" w:hAnsi="Arial" w:cs="Arial"/>
          <w:color w:val="010000"/>
          <w:sz w:val="20"/>
        </w:rPr>
        <w:t xml:space="preserve"> rate of investors at the time of recording the list has the right to exercise rights, and shareholders (including domestic and foreign shareholders) are not allowed to transfer purchasing rights to foreign investors.</w:t>
      </w:r>
    </w:p>
    <w:p w14:paraId="00000008" w14:textId="77777777" w:rsidR="00724C58" w:rsidRPr="00071386" w:rsidRDefault="001840DA" w:rsidP="00E402A5">
      <w:pPr>
        <w:numPr>
          <w:ilvl w:val="0"/>
          <w:numId w:val="3"/>
        </w:numPr>
        <w:pBdr>
          <w:top w:val="nil"/>
          <w:left w:val="nil"/>
          <w:bottom w:val="nil"/>
          <w:right w:val="nil"/>
          <w:between w:val="nil"/>
        </w:pBdr>
        <w:tabs>
          <w:tab w:val="left" w:pos="422"/>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In addition, the Board of Directors commits not to distribute shares that existing shareholders do not register to buy, do not pay the purchase price, and fractional shares to foreign investors.</w:t>
      </w:r>
    </w:p>
    <w:p w14:paraId="00000009" w14:textId="77777777" w:rsidR="00724C58" w:rsidRPr="00071386" w:rsidRDefault="001840DA" w:rsidP="00E402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Article 2: Authorize the legal representative on behalf of the Board of Directors to sign related documents and direct the implementation of the next steps while ensuring compliance with the current regulations.</w:t>
      </w:r>
    </w:p>
    <w:p w14:paraId="0000000A" w14:textId="77777777" w:rsidR="00724C58" w:rsidRPr="00071386" w:rsidRDefault="001840DA" w:rsidP="00E402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Article 3: Members of the Board of Directors and the Board of Management of Hung Hau Agricultural Corporation are responsible for the implementation of this Resolution.</w:t>
      </w:r>
    </w:p>
    <w:p w14:paraId="0000000B" w14:textId="7743A248" w:rsidR="00724C58" w:rsidRPr="00071386" w:rsidRDefault="001840DA" w:rsidP="00E402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Article 4: This Resolution replaces Resolution No. 08.2024/NQ-HDQT dated January 15, 2024 and replace</w:t>
      </w:r>
      <w:r w:rsidR="00071386" w:rsidRPr="00071386">
        <w:rPr>
          <w:rFonts w:ascii="Arial" w:hAnsi="Arial" w:cs="Arial"/>
          <w:color w:val="010000"/>
          <w:sz w:val="20"/>
        </w:rPr>
        <w:t>s</w:t>
      </w:r>
      <w:r w:rsidRPr="00071386">
        <w:rPr>
          <w:rFonts w:ascii="Arial" w:hAnsi="Arial" w:cs="Arial"/>
          <w:color w:val="010000"/>
          <w:sz w:val="20"/>
        </w:rPr>
        <w:t xml:space="preserve"> Article 3 of Resolution No. 11.2023/NQ-HDQT dated August 8, 2023.</w:t>
      </w:r>
    </w:p>
    <w:p w14:paraId="0000000E" w14:textId="3C20B518" w:rsidR="00724C58" w:rsidRPr="00071386" w:rsidRDefault="001840DA" w:rsidP="00E402A5">
      <w:pPr>
        <w:pBdr>
          <w:top w:val="nil"/>
          <w:left w:val="nil"/>
          <w:bottom w:val="nil"/>
          <w:right w:val="nil"/>
          <w:between w:val="nil"/>
        </w:pBdr>
        <w:tabs>
          <w:tab w:val="left" w:pos="450"/>
        </w:tabs>
        <w:spacing w:after="120" w:line="360" w:lineRule="auto"/>
        <w:jc w:val="both"/>
        <w:rPr>
          <w:rFonts w:ascii="Arial" w:hAnsi="Arial" w:cs="Arial"/>
          <w:color w:val="010000"/>
          <w:sz w:val="20"/>
        </w:rPr>
      </w:pPr>
      <w:r w:rsidRPr="00071386">
        <w:rPr>
          <w:rFonts w:ascii="Arial" w:hAnsi="Arial" w:cs="Arial"/>
          <w:color w:val="010000"/>
          <w:sz w:val="20"/>
        </w:rPr>
        <w:t>This Resolution takes effect from the date of its signing.</w:t>
      </w:r>
    </w:p>
    <w:p w14:paraId="4DD035E1" w14:textId="13DA8600" w:rsidR="001840DA" w:rsidRPr="00071386" w:rsidRDefault="001840DA" w:rsidP="00E402A5">
      <w:pPr>
        <w:pBdr>
          <w:top w:val="nil"/>
          <w:left w:val="nil"/>
          <w:bottom w:val="single" w:sz="6" w:space="1" w:color="auto"/>
          <w:right w:val="nil"/>
          <w:between w:val="nil"/>
        </w:pBdr>
        <w:tabs>
          <w:tab w:val="left" w:pos="450"/>
        </w:tabs>
        <w:spacing w:after="120" w:line="360" w:lineRule="auto"/>
        <w:jc w:val="both"/>
        <w:rPr>
          <w:rFonts w:ascii="Arial" w:hAnsi="Arial" w:cs="Arial"/>
          <w:color w:val="010000"/>
          <w:sz w:val="20"/>
        </w:rPr>
      </w:pPr>
    </w:p>
    <w:p w14:paraId="00000010" w14:textId="77777777" w:rsidR="00724C58" w:rsidRPr="00071386" w:rsidRDefault="001840DA" w:rsidP="00E402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On March 22, 2024, Hung Hau Agricultural Corporation announced Resolution No. 12.2024/NQ-HDQT on approving the dossier for offering shares to existing shareholders as follows:</w:t>
      </w:r>
    </w:p>
    <w:p w14:paraId="00000011" w14:textId="77777777" w:rsidR="00724C58" w:rsidRPr="00071386" w:rsidRDefault="001840DA" w:rsidP="00E402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Article 1: Approve the registration dossier to offer shares to existing shareholders submitted to the State Securities Commission as follows:</w:t>
      </w:r>
    </w:p>
    <w:p w14:paraId="00000013" w14:textId="77777777" w:rsidR="00724C58" w:rsidRPr="00071386" w:rsidRDefault="001840DA" w:rsidP="00E402A5">
      <w:pPr>
        <w:numPr>
          <w:ilvl w:val="0"/>
          <w:numId w:val="3"/>
        </w:numPr>
        <w:pBdr>
          <w:top w:val="nil"/>
          <w:left w:val="nil"/>
          <w:bottom w:val="nil"/>
          <w:right w:val="nil"/>
          <w:between w:val="nil"/>
        </w:pBdr>
        <w:tabs>
          <w:tab w:val="left" w:pos="408"/>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Registration certificate for public offering of additional shares;</w:t>
      </w:r>
    </w:p>
    <w:p w14:paraId="00000014" w14:textId="77777777" w:rsidR="00724C58" w:rsidRPr="00071386" w:rsidRDefault="001840DA" w:rsidP="00E402A5">
      <w:pPr>
        <w:numPr>
          <w:ilvl w:val="0"/>
          <w:numId w:val="3"/>
        </w:numPr>
        <w:pBdr>
          <w:top w:val="nil"/>
          <w:left w:val="nil"/>
          <w:bottom w:val="nil"/>
          <w:right w:val="nil"/>
          <w:between w:val="nil"/>
        </w:pBdr>
        <w:tabs>
          <w:tab w:val="left" w:pos="408"/>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Prospectus for public offering of additional shares;</w:t>
      </w:r>
    </w:p>
    <w:p w14:paraId="00000015" w14:textId="77777777" w:rsidR="00724C58" w:rsidRPr="00071386" w:rsidRDefault="001840DA" w:rsidP="00E402A5">
      <w:pPr>
        <w:numPr>
          <w:ilvl w:val="0"/>
          <w:numId w:val="3"/>
        </w:numPr>
        <w:pBdr>
          <w:top w:val="nil"/>
          <w:left w:val="nil"/>
          <w:bottom w:val="nil"/>
          <w:right w:val="nil"/>
          <w:between w:val="nil"/>
        </w:pBdr>
        <w:tabs>
          <w:tab w:val="left" w:pos="408"/>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lastRenderedPageBreak/>
        <w:t>The Charter of Hung Hau Agricultural Corporation;</w:t>
      </w:r>
    </w:p>
    <w:p w14:paraId="00000016" w14:textId="77777777" w:rsidR="00724C58" w:rsidRPr="00071386" w:rsidRDefault="001840DA" w:rsidP="00E402A5">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071386">
        <w:rPr>
          <w:rFonts w:ascii="Arial" w:hAnsi="Arial" w:cs="Arial"/>
          <w:color w:val="010000"/>
          <w:sz w:val="20"/>
        </w:rPr>
        <w:t>The Annual General Mandate for the fiscal year 2023 dated December 24, 2022; the Minutes of the Annual General Meeting of Shareholders for the fiscal year 2023 dated December 24, 2022 and Proposal No. 08.2023/TTr-DHDCD dated December 03, 2022 on approving the plan on public offering to existing shareholders;</w:t>
      </w:r>
    </w:p>
    <w:p w14:paraId="00000017" w14:textId="77777777" w:rsidR="00724C58" w:rsidRPr="00071386" w:rsidRDefault="001840DA" w:rsidP="00E402A5">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071386">
        <w:rPr>
          <w:rFonts w:ascii="Arial" w:hAnsi="Arial" w:cs="Arial"/>
          <w:color w:val="010000"/>
          <w:sz w:val="20"/>
        </w:rPr>
        <w:t>General Mandate No. 01.2023/NQ-DHDCD dated August 7, 2023 and Minutes of vote counting of the General Meeting of Shareholders No. 01.2023/BB-DHDCD dated August 7, 2023 and Proposal No. 01.2023/TTr-DHDCD dated July 23, 2023 on the detail of the plan for using capital obtained in the share offering to existing shareholders of the Company;</w:t>
      </w:r>
    </w:p>
    <w:p w14:paraId="00000018" w14:textId="7FF803A6" w:rsidR="00724C58" w:rsidRPr="00071386" w:rsidRDefault="001840DA" w:rsidP="00E402A5">
      <w:pPr>
        <w:numPr>
          <w:ilvl w:val="0"/>
          <w:numId w:val="2"/>
        </w:numPr>
        <w:pBdr>
          <w:top w:val="nil"/>
          <w:left w:val="nil"/>
          <w:bottom w:val="nil"/>
          <w:right w:val="nil"/>
          <w:between w:val="nil"/>
        </w:pBdr>
        <w:tabs>
          <w:tab w:val="left" w:pos="450"/>
          <w:tab w:val="left" w:pos="9528"/>
        </w:tabs>
        <w:spacing w:after="120" w:line="360" w:lineRule="auto"/>
        <w:ind w:left="0" w:firstLine="0"/>
        <w:jc w:val="both"/>
        <w:rPr>
          <w:rFonts w:ascii="Arial" w:eastAsia="Arial" w:hAnsi="Arial" w:cs="Arial"/>
          <w:color w:val="010000"/>
          <w:sz w:val="20"/>
          <w:szCs w:val="20"/>
        </w:rPr>
      </w:pPr>
      <w:r w:rsidRPr="00071386">
        <w:rPr>
          <w:rFonts w:ascii="Arial" w:hAnsi="Arial" w:cs="Arial"/>
          <w:color w:val="010000"/>
          <w:sz w:val="20"/>
        </w:rPr>
        <w:t xml:space="preserve">Annual General Mandates for the fiscal year 2024 No. 01.2024/NQ-DHDCD 32047 dated December 29, 2023; Minutes of the Annual General Meeting of Shareholders for the fiscal year 2024 dated December 29, 2023 and Proposal No. 05.2024/TTr-DHĐCĐ dated December 8, 2023 on continuing to implement the stock offering plan for existing shareholders; </w:t>
      </w:r>
    </w:p>
    <w:p w14:paraId="00000019" w14:textId="77777777" w:rsidR="00724C58" w:rsidRPr="00071386" w:rsidRDefault="001840DA" w:rsidP="00E402A5">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071386">
        <w:rPr>
          <w:rFonts w:ascii="Arial" w:hAnsi="Arial" w:cs="Arial"/>
          <w:color w:val="010000"/>
          <w:sz w:val="20"/>
        </w:rPr>
        <w:t>The Audited Consolidated Financial Statements for the fiscal year ended on September 30, 2022; the Audited Separate Financial Statements for the fiscal year ended on September 30, 2022;</w:t>
      </w:r>
    </w:p>
    <w:p w14:paraId="0000001A" w14:textId="77777777" w:rsidR="00724C58" w:rsidRPr="00071386" w:rsidRDefault="001840DA" w:rsidP="00E402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Power of attorney from the Legal Representative of Nam Viet Auditing And Accounting Financial Consulting Services Company Limited authorizing the Deputy Manager (Nguyen Ngoc Tuan);</w:t>
      </w:r>
    </w:p>
    <w:p w14:paraId="0000001B" w14:textId="77777777" w:rsidR="00724C58" w:rsidRPr="00071386" w:rsidRDefault="001840DA" w:rsidP="00E402A5">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071386">
        <w:rPr>
          <w:rFonts w:ascii="Arial" w:hAnsi="Arial" w:cs="Arial"/>
          <w:color w:val="010000"/>
          <w:sz w:val="20"/>
        </w:rPr>
        <w:t>The Audited Consolidated Financial Statements for the fiscal year ending September 30, 2023;</w:t>
      </w:r>
    </w:p>
    <w:p w14:paraId="0000001C" w14:textId="77777777" w:rsidR="00724C58" w:rsidRPr="00071386" w:rsidRDefault="001840DA" w:rsidP="00E402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The Audited Separated Financial Statement for the fiscal year ended on September 30, 2023.</w:t>
      </w:r>
    </w:p>
    <w:p w14:paraId="0000001D" w14:textId="77777777" w:rsidR="00724C58" w:rsidRPr="00071386" w:rsidRDefault="001840DA" w:rsidP="00E402A5">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071386">
        <w:rPr>
          <w:rFonts w:ascii="Arial" w:hAnsi="Arial" w:cs="Arial"/>
          <w:color w:val="010000"/>
          <w:sz w:val="20"/>
        </w:rPr>
        <w:t>The Financial Statements of Q1/2024; Consolidated Financial Statements of Q1/2024</w:t>
      </w:r>
    </w:p>
    <w:p w14:paraId="0000001E" w14:textId="77777777" w:rsidR="00724C58" w:rsidRPr="00071386" w:rsidRDefault="001840DA" w:rsidP="00E402A5">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071386">
        <w:rPr>
          <w:rFonts w:ascii="Arial" w:hAnsi="Arial" w:cs="Arial"/>
          <w:color w:val="010000"/>
          <w:sz w:val="20"/>
        </w:rPr>
        <w:t>Resolution No. 11.2023/NQ-HDQT dated August 08, 2023 on implementing the share offering to existing shareholders and the plan on ensuring the offering meeting regulations on the foreign ownership rate;</w:t>
      </w:r>
    </w:p>
    <w:p w14:paraId="0000001F" w14:textId="77777777" w:rsidR="00724C58" w:rsidRPr="00071386" w:rsidRDefault="001840DA" w:rsidP="00E402A5">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071386">
        <w:rPr>
          <w:rFonts w:ascii="Arial" w:hAnsi="Arial" w:cs="Arial"/>
          <w:color w:val="010000"/>
          <w:sz w:val="20"/>
        </w:rPr>
        <w:t>Resolution No. 03.2024/NQ-HDQT dated November 06, 2023 on the detailed plan to use proceeds from the offering to existing shareholders;</w:t>
      </w:r>
    </w:p>
    <w:p w14:paraId="00000020" w14:textId="77777777" w:rsidR="00724C58" w:rsidRPr="00071386" w:rsidRDefault="001840DA" w:rsidP="00E402A5">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071386">
        <w:rPr>
          <w:rFonts w:ascii="Arial" w:hAnsi="Arial" w:cs="Arial"/>
          <w:color w:val="010000"/>
          <w:sz w:val="20"/>
        </w:rPr>
        <w:t>Resolution No. 11.2024/NQ-HDQT dated March 22, 2024 on implementing the plan to ensure the offering meeting regulations on the foreign ownership rate;</w:t>
      </w:r>
    </w:p>
    <w:p w14:paraId="00000021" w14:textId="77777777" w:rsidR="00724C58" w:rsidRPr="00071386" w:rsidRDefault="001840DA" w:rsidP="00E402A5">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071386">
        <w:rPr>
          <w:rFonts w:ascii="Arial" w:hAnsi="Arial" w:cs="Arial"/>
          <w:color w:val="010000"/>
          <w:sz w:val="20"/>
        </w:rPr>
        <w:t>Resolution No. 12.2024/NQ-HDQT dated March 22, 2024 on approving the dossier for offering shares to existing shareholders;</w:t>
      </w:r>
    </w:p>
    <w:p w14:paraId="00000022" w14:textId="77777777" w:rsidR="00724C58" w:rsidRPr="00071386" w:rsidRDefault="001840DA" w:rsidP="00E402A5">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071386">
        <w:rPr>
          <w:rFonts w:ascii="Arial" w:hAnsi="Arial" w:cs="Arial"/>
          <w:color w:val="010000"/>
          <w:sz w:val="20"/>
        </w:rPr>
        <w:t>Written commitment of the Board of Directors on registration for listing of securities;</w:t>
      </w:r>
    </w:p>
    <w:p w14:paraId="00000023" w14:textId="77777777" w:rsidR="00724C58" w:rsidRPr="00071386" w:rsidRDefault="001840DA" w:rsidP="00E402A5">
      <w:pPr>
        <w:numPr>
          <w:ilvl w:val="0"/>
          <w:numId w:val="2"/>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071386">
        <w:rPr>
          <w:rFonts w:ascii="Arial" w:hAnsi="Arial" w:cs="Arial"/>
          <w:color w:val="010000"/>
          <w:sz w:val="20"/>
        </w:rPr>
        <w:t>Written confirmation of the bank on opening a blocked account to receive the payment for purchasing shares in the offering along with the authorization of the signatory;</w:t>
      </w:r>
    </w:p>
    <w:p w14:paraId="00000024" w14:textId="77777777" w:rsidR="00724C58" w:rsidRPr="00071386" w:rsidRDefault="001840DA" w:rsidP="00E402A5">
      <w:pPr>
        <w:numPr>
          <w:ilvl w:val="0"/>
          <w:numId w:val="1"/>
        </w:numPr>
        <w:pBdr>
          <w:top w:val="nil"/>
          <w:left w:val="nil"/>
          <w:bottom w:val="nil"/>
          <w:right w:val="nil"/>
          <w:between w:val="nil"/>
        </w:pBdr>
        <w:tabs>
          <w:tab w:val="left" w:pos="288"/>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Business Registration Certificate No. 0302047389, first issued on July 10, 2000 and registered for the 29th amendment on May 17, 2023 by Ho Chi Minh City Authority for Planning and Investment;</w:t>
      </w:r>
    </w:p>
    <w:p w14:paraId="00000025" w14:textId="77777777" w:rsidR="00724C58" w:rsidRPr="00071386" w:rsidRDefault="001840DA" w:rsidP="00E402A5">
      <w:pPr>
        <w:numPr>
          <w:ilvl w:val="0"/>
          <w:numId w:val="1"/>
        </w:numPr>
        <w:pBdr>
          <w:top w:val="nil"/>
          <w:left w:val="nil"/>
          <w:bottom w:val="nil"/>
          <w:right w:val="nil"/>
          <w:between w:val="nil"/>
        </w:pBdr>
        <w:tabs>
          <w:tab w:val="left" w:pos="288"/>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Written commitment on complying with Point e, Clause 1, Article 15 of the Law on Securities;</w:t>
      </w:r>
    </w:p>
    <w:p w14:paraId="00000026" w14:textId="77777777" w:rsidR="00724C58" w:rsidRPr="00071386" w:rsidRDefault="001840DA" w:rsidP="00E402A5">
      <w:pPr>
        <w:numPr>
          <w:ilvl w:val="0"/>
          <w:numId w:val="1"/>
        </w:numPr>
        <w:pBdr>
          <w:top w:val="nil"/>
          <w:left w:val="nil"/>
          <w:bottom w:val="nil"/>
          <w:right w:val="nil"/>
          <w:between w:val="nil"/>
        </w:pBdr>
        <w:tabs>
          <w:tab w:val="left" w:pos="288"/>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lastRenderedPageBreak/>
        <w:t>Consulting contract on the registration dossier for offering securities along with the authorization of the consulting company;</w:t>
      </w:r>
    </w:p>
    <w:p w14:paraId="00000027" w14:textId="77777777" w:rsidR="00724C58" w:rsidRPr="00071386" w:rsidRDefault="001840DA" w:rsidP="00E402A5">
      <w:pPr>
        <w:numPr>
          <w:ilvl w:val="0"/>
          <w:numId w:val="1"/>
        </w:numPr>
        <w:pBdr>
          <w:top w:val="nil"/>
          <w:left w:val="nil"/>
          <w:bottom w:val="nil"/>
          <w:right w:val="nil"/>
          <w:between w:val="nil"/>
        </w:pBdr>
        <w:tabs>
          <w:tab w:val="left" w:pos="288"/>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Official Dispatch No. 3624/UBCK-PTTT dated June 13, 2022 on the documents announcing the maximum foreign ownership rate of Hung Hau Agricultural Corporation.</w:t>
      </w:r>
    </w:p>
    <w:p w14:paraId="00000029" w14:textId="77777777" w:rsidR="00724C58" w:rsidRPr="00071386" w:rsidRDefault="001840DA" w:rsidP="00E402A5">
      <w:pPr>
        <w:numPr>
          <w:ilvl w:val="0"/>
          <w:numId w:val="1"/>
        </w:numPr>
        <w:pBdr>
          <w:top w:val="nil"/>
          <w:left w:val="nil"/>
          <w:bottom w:val="nil"/>
          <w:right w:val="nil"/>
          <w:between w:val="nil"/>
        </w:pBdr>
        <w:tabs>
          <w:tab w:val="left" w:pos="288"/>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Dossiers, documents that are related to the plan on using capital;</w:t>
      </w:r>
    </w:p>
    <w:p w14:paraId="0000002B" w14:textId="2188943F" w:rsidR="00724C58" w:rsidRPr="00071386" w:rsidRDefault="001840DA" w:rsidP="00E402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Article 2: Authorize the legal representative on behalf of the Board of Directors to sign related documents and direct the implementation of the next steps while ensuring compliance with the current regulations.</w:t>
      </w:r>
    </w:p>
    <w:p w14:paraId="0000002C" w14:textId="77777777" w:rsidR="00724C58" w:rsidRPr="00071386" w:rsidRDefault="001840DA" w:rsidP="00E402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Article 3: Members of the Board of Directors, the Board of Management of Hung Hau Agricultural Corporation are responsible for implementing this Resolution.</w:t>
      </w:r>
    </w:p>
    <w:p w14:paraId="0000002E" w14:textId="77777777" w:rsidR="00724C58" w:rsidRPr="00071386" w:rsidRDefault="001840DA" w:rsidP="00E402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Article 4: This Resolution replaces Resolution No. 09.2024/NQ - HDQT dated January 15, 2024 and Resolution No. 09/NQ-HDQT dated May 17, 2023</w:t>
      </w:r>
    </w:p>
    <w:p w14:paraId="00000030" w14:textId="77777777" w:rsidR="00724C58" w:rsidRPr="00071386" w:rsidRDefault="001840DA" w:rsidP="00E402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071386">
        <w:rPr>
          <w:rFonts w:ascii="Arial" w:hAnsi="Arial" w:cs="Arial"/>
          <w:color w:val="010000"/>
          <w:sz w:val="20"/>
        </w:rPr>
        <w:t>This Resolution takes effect from the date of its signing.</w:t>
      </w:r>
    </w:p>
    <w:sectPr w:rsidR="00724C58" w:rsidRPr="00071386" w:rsidSect="001840D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C1FAD"/>
    <w:multiLevelType w:val="multilevel"/>
    <w:tmpl w:val="DDF462C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67B529B"/>
    <w:multiLevelType w:val="multilevel"/>
    <w:tmpl w:val="90D4B19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A22DF0"/>
    <w:multiLevelType w:val="multilevel"/>
    <w:tmpl w:val="FAC641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58"/>
    <w:rsid w:val="00071386"/>
    <w:rsid w:val="001840DA"/>
    <w:rsid w:val="00724C58"/>
    <w:rsid w:val="00995C6F"/>
    <w:rsid w:val="00E402A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8B4E6"/>
  <w15:docId w15:val="{EB10DADD-F4E8-4100-8597-94228C14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rPr>
  </w:style>
  <w:style w:type="character" w:customStyle="1" w:styleId="Heading10">
    <w:name w:val="Heading #1_"/>
    <w:basedOn w:val="DefaultParagraphFont"/>
    <w:link w:val="Heading11"/>
    <w:rPr>
      <w:rFonts w:ascii="Tahoma" w:eastAsia="Tahoma" w:hAnsi="Tahoma" w:cs="Tahoma"/>
      <w:b w:val="0"/>
      <w:bCs w:val="0"/>
      <w:i w:val="0"/>
      <w:iCs w:val="0"/>
      <w:smallCaps w:val="0"/>
      <w:strike w:val="0"/>
      <w:sz w:val="32"/>
      <w:szCs w:val="3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2"/>
      <w:szCs w:val="32"/>
      <w:u w:val="none"/>
    </w:rPr>
  </w:style>
  <w:style w:type="character" w:customStyle="1" w:styleId="Heading20">
    <w:name w:val="Heading #2_"/>
    <w:basedOn w:val="DefaultParagraphFont"/>
    <w:link w:val="Heading21"/>
    <w:rPr>
      <w:rFonts w:ascii="Arial" w:eastAsia="Arial" w:hAnsi="Arial" w:cs="Arial"/>
      <w:b/>
      <w:bCs/>
      <w:i w:val="0"/>
      <w:iCs w:val="0"/>
      <w:smallCaps w:val="0"/>
      <w:strike w:val="0"/>
      <w:sz w:val="20"/>
      <w:szCs w:val="20"/>
      <w:u w:val="none"/>
    </w:rPr>
  </w:style>
  <w:style w:type="character" w:customStyle="1" w:styleId="Bodytext4">
    <w:name w:val="Body text (4)_"/>
    <w:basedOn w:val="DefaultParagraphFont"/>
    <w:link w:val="Bodytext40"/>
    <w:rPr>
      <w:rFonts w:ascii="Arial" w:eastAsia="Arial" w:hAnsi="Arial" w:cs="Arial"/>
      <w:b/>
      <w:bCs/>
      <w:i w:val="0"/>
      <w:iCs w:val="0"/>
      <w:smallCaps w:val="0"/>
      <w:strike w:val="0"/>
      <w:color w:val="BC5268"/>
      <w:sz w:val="16"/>
      <w:szCs w:val="16"/>
      <w:u w:val="none"/>
    </w:rPr>
  </w:style>
  <w:style w:type="character" w:customStyle="1" w:styleId="Other">
    <w:name w:val="Other_"/>
    <w:basedOn w:val="DefaultParagraphFont"/>
    <w:link w:val="Other0"/>
    <w:rPr>
      <w:rFonts w:ascii="Arial" w:eastAsia="Arial" w:hAnsi="Arial" w:cs="Arial"/>
      <w:b w:val="0"/>
      <w:bCs w:val="0"/>
      <w:i w:val="0"/>
      <w:iCs w:val="0"/>
      <w:smallCaps w:val="0"/>
      <w:strike w:val="0"/>
      <w:sz w:val="20"/>
      <w:szCs w:val="20"/>
      <w:u w:val="none"/>
    </w:rPr>
  </w:style>
  <w:style w:type="paragraph" w:styleId="BodyText">
    <w:name w:val="Body Text"/>
    <w:basedOn w:val="Normal"/>
    <w:link w:val="BodyTextChar"/>
    <w:qFormat/>
    <w:pPr>
      <w:spacing w:line="360" w:lineRule="auto"/>
    </w:pPr>
    <w:rPr>
      <w:rFonts w:ascii="Arial" w:eastAsia="Arial" w:hAnsi="Arial" w:cs="Arial"/>
      <w:sz w:val="20"/>
      <w:szCs w:val="20"/>
    </w:rPr>
  </w:style>
  <w:style w:type="paragraph" w:customStyle="1" w:styleId="Heading11">
    <w:name w:val="Heading #1"/>
    <w:basedOn w:val="Normal"/>
    <w:link w:val="Heading10"/>
    <w:pPr>
      <w:spacing w:line="271" w:lineRule="auto"/>
      <w:outlineLvl w:val="0"/>
    </w:pPr>
    <w:rPr>
      <w:rFonts w:ascii="Tahoma" w:eastAsia="Tahoma" w:hAnsi="Tahoma" w:cs="Tahoma"/>
      <w:sz w:val="32"/>
      <w:szCs w:val="32"/>
    </w:rPr>
  </w:style>
  <w:style w:type="paragraph" w:customStyle="1" w:styleId="Bodytext20">
    <w:name w:val="Body text (2)"/>
    <w:basedOn w:val="Normal"/>
    <w:link w:val="Bodytext2"/>
    <w:pPr>
      <w:spacing w:line="298" w:lineRule="auto"/>
    </w:pPr>
    <w:rPr>
      <w:rFonts w:ascii="Arial" w:eastAsia="Arial" w:hAnsi="Arial" w:cs="Arial"/>
      <w:sz w:val="14"/>
      <w:szCs w:val="14"/>
    </w:rPr>
  </w:style>
  <w:style w:type="paragraph" w:customStyle="1" w:styleId="Bodytext30">
    <w:name w:val="Body text (3)"/>
    <w:basedOn w:val="Normal"/>
    <w:link w:val="Bodytext3"/>
    <w:rPr>
      <w:rFonts w:ascii="Arial" w:eastAsia="Arial" w:hAnsi="Arial" w:cs="Arial"/>
      <w:sz w:val="32"/>
      <w:szCs w:val="32"/>
    </w:rPr>
  </w:style>
  <w:style w:type="paragraph" w:customStyle="1" w:styleId="Heading21">
    <w:name w:val="Heading #2"/>
    <w:basedOn w:val="Normal"/>
    <w:link w:val="Heading20"/>
    <w:pPr>
      <w:spacing w:line="293" w:lineRule="auto"/>
      <w:outlineLvl w:val="1"/>
    </w:pPr>
    <w:rPr>
      <w:rFonts w:ascii="Arial" w:eastAsia="Arial" w:hAnsi="Arial" w:cs="Arial"/>
      <w:b/>
      <w:bCs/>
      <w:sz w:val="20"/>
      <w:szCs w:val="20"/>
    </w:rPr>
  </w:style>
  <w:style w:type="paragraph" w:customStyle="1" w:styleId="Bodytext40">
    <w:name w:val="Body text (4)"/>
    <w:basedOn w:val="Normal"/>
    <w:link w:val="Bodytext4"/>
    <w:pPr>
      <w:ind w:left="5500"/>
    </w:pPr>
    <w:rPr>
      <w:rFonts w:ascii="Arial" w:eastAsia="Arial" w:hAnsi="Arial" w:cs="Arial"/>
      <w:b/>
      <w:bCs/>
      <w:color w:val="BC5268"/>
      <w:sz w:val="16"/>
      <w:szCs w:val="16"/>
    </w:rPr>
  </w:style>
  <w:style w:type="paragraph" w:customStyle="1" w:styleId="Other0">
    <w:name w:val="Other"/>
    <w:basedOn w:val="Normal"/>
    <w:link w:val="Other"/>
    <w:pPr>
      <w:spacing w:line="360" w:lineRule="auto"/>
    </w:pPr>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71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sU44Nu8ykvhA1oB8QB58Abpe6Q==">CgMxLjA4AHIhMURQVVh2VHdLUjhBSnVEaWxvVU1yWmp6UzhsRF9aU0tT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2024-03-28T04:12:00Z</dcterms:created>
  <dcterms:modified xsi:type="dcterms:W3CDTF">2024-03-29T03:11:00Z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785e4188fe609d03479044aa2b0e4403f617384fa229d8f5d2716b3f22830d13</vt:lpwstr>
  </property>
</Properties>
</file>