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7E43" w14:textId="77777777" w:rsidR="003D38EC" w:rsidRPr="00A446D6" w:rsidRDefault="00871169" w:rsidP="00D226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46D6">
        <w:rPr>
          <w:rFonts w:ascii="Arial" w:hAnsi="Arial" w:cs="Arial"/>
          <w:b/>
          <w:color w:val="010000"/>
          <w:sz w:val="20"/>
        </w:rPr>
        <w:t>MGG: Board Resolution</w:t>
      </w:r>
    </w:p>
    <w:p w14:paraId="5FA2BB7C" w14:textId="77777777" w:rsidR="003D38EC" w:rsidRPr="00A446D6" w:rsidRDefault="00871169" w:rsidP="00D226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 xml:space="preserve">On February 27, 2024, Duc Giang Corporation announced Resolution No. 79/NQ-HDQT as follows: </w:t>
      </w:r>
    </w:p>
    <w:p w14:paraId="00FF7A83" w14:textId="77777777" w:rsidR="003D38EC" w:rsidRPr="00A446D6" w:rsidRDefault="00871169" w:rsidP="00D22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Results on production and business activities in 2023: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451"/>
        <w:gridCol w:w="1158"/>
        <w:gridCol w:w="1192"/>
        <w:gridCol w:w="1105"/>
        <w:gridCol w:w="994"/>
        <w:gridCol w:w="968"/>
        <w:gridCol w:w="1149"/>
      </w:tblGrid>
      <w:tr w:rsidR="006A7D61" w:rsidRPr="00A446D6" w14:paraId="00E0AE1D" w14:textId="77777777" w:rsidTr="006A7D61"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BADBB" w14:textId="254EA58C" w:rsidR="006A7D61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4DD57" w14:textId="77777777" w:rsidR="006A7D61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C21F4" w14:textId="5531C061" w:rsidR="006A7D61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08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FB3B1" w14:textId="7BB203E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Comparison (%)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D4D71" w14:textId="77777777" w:rsidR="006A7D61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D38EC" w:rsidRPr="00A446D6" w14:paraId="4AB9FE0B" w14:textId="77777777" w:rsidTr="00871169"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43BA4" w14:textId="77777777" w:rsidR="003D38EC" w:rsidRPr="00A446D6" w:rsidRDefault="003D38EC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0E9C1" w14:textId="77777777" w:rsidR="003D38EC" w:rsidRPr="00A446D6" w:rsidRDefault="003D38EC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47AF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F08A4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B2F0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Plan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8FDC2" w14:textId="491EF98C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Same period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BE340" w14:textId="77777777" w:rsidR="003D38EC" w:rsidRPr="00A446D6" w:rsidRDefault="003D38EC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241B25A8" w14:textId="77777777" w:rsidTr="00871169"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3C62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4F3E6" w14:textId="297E1028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D8776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2,438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899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2,814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549E3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04FB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03AC2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1945683B" w14:textId="77777777" w:rsidTr="00871169"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05734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Export revenue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E3013" w14:textId="51050ABF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6F5A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1,905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A328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2,224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217E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ABF3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7A9A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</w:tr>
      <w:tr w:rsidR="003D38EC" w:rsidRPr="00A446D6" w14:paraId="14CFEAA2" w14:textId="77777777" w:rsidTr="00871169"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C681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Domestic revenue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301B7" w14:textId="6CD7ED37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5B9E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492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88B8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562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DD35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91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1C93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1DCC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</w:tr>
      <w:tr w:rsidR="003D38EC" w:rsidRPr="00A446D6" w14:paraId="6499BAFA" w14:textId="77777777" w:rsidTr="00871169"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8F3A4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Service revenue (WIDG)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78330" w14:textId="47120AD4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0B383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371B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E847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CEDB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7BA79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3A30A35D" w14:textId="77777777" w:rsidTr="00871169"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6EEF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9A9DC" w14:textId="30CCE76D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61EC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19.1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7D1E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30.1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C25F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127 (*)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9649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63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522B0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6F7F010" w14:textId="02144ADC" w:rsidR="003D38EC" w:rsidRPr="00A446D6" w:rsidRDefault="00871169" w:rsidP="00D226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 xml:space="preserve">(*): Adjusted planned profit is VND 15 billion according to the conclusion of the meeting with VINATEX </w:t>
      </w:r>
      <w:r w:rsidR="00D22675">
        <w:rPr>
          <w:rFonts w:ascii="Arial" w:hAnsi="Arial" w:cs="Arial"/>
          <w:color w:val="010000"/>
          <w:sz w:val="20"/>
        </w:rPr>
        <w:t>Managing Director</w:t>
      </w:r>
      <w:r w:rsidRPr="00A446D6">
        <w:rPr>
          <w:rFonts w:ascii="Arial" w:hAnsi="Arial" w:cs="Arial"/>
          <w:color w:val="010000"/>
          <w:sz w:val="20"/>
        </w:rPr>
        <w:t xml:space="preserve"> on July 12, 2023.</w:t>
      </w:r>
    </w:p>
    <w:p w14:paraId="20C18861" w14:textId="77777777" w:rsidR="003D38EC" w:rsidRPr="00A446D6" w:rsidRDefault="00871169" w:rsidP="00D22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Production and business tasks in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8"/>
        <w:gridCol w:w="999"/>
        <w:gridCol w:w="1293"/>
        <w:gridCol w:w="1264"/>
        <w:gridCol w:w="1104"/>
        <w:gridCol w:w="1349"/>
      </w:tblGrid>
      <w:tr w:rsidR="003D38EC" w:rsidRPr="00A446D6" w14:paraId="0B0C87E3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9C0BD" w14:textId="11881585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Main targets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3E1C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9AEAB" w14:textId="506FC461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E9703" w14:textId="7E41CF88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2023</w:t>
            </w:r>
            <w:r w:rsidR="006A7D61" w:rsidRPr="00A446D6">
              <w:rPr>
                <w:rFonts w:ascii="Arial" w:hAnsi="Arial" w:cs="Arial"/>
                <w:color w:val="010000"/>
                <w:sz w:val="20"/>
              </w:rPr>
              <w:t xml:space="preserve"> Results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40D1A" w14:textId="42557F8F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Comparison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7956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D38EC" w:rsidRPr="00A446D6" w14:paraId="36B60936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5CAA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C7BE8" w14:textId="06A0E722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A23E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2,432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0771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2,438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7D5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9A5B0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2F67225F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C1FE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Export revenue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0BF1B" w14:textId="4233EA1E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02EA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1,932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A725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1,905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1D94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101%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A1EA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80%</w:t>
            </w:r>
          </w:p>
        </w:tc>
      </w:tr>
      <w:tr w:rsidR="003D38EC" w:rsidRPr="00A446D6" w14:paraId="00B2B7CC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E5C5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Domestic business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980E6" w14:textId="69CE2207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2C4B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465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2173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492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19EA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95%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0484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20%</w:t>
            </w:r>
          </w:p>
        </w:tc>
      </w:tr>
      <w:tr w:rsidR="003D38EC" w:rsidRPr="00A446D6" w14:paraId="498F2F93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1D07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Service revenue (WIDG)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770BF" w14:textId="1FF3D921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D3CE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16.1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765E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13.8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C466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117%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92D7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1958201D" w14:textId="77777777" w:rsidTr="00871169">
        <w:tc>
          <w:tcPr>
            <w:tcW w:w="16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102B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Profit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1873D" w14:textId="14F4CA4B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DEC73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7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4E7F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19.1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3058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80B58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4D4B6CC" w14:textId="77777777" w:rsidR="003D38EC" w:rsidRPr="00A446D6" w:rsidRDefault="00871169" w:rsidP="008711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3. Financial targets for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4"/>
        <w:gridCol w:w="2711"/>
        <w:gridCol w:w="1057"/>
        <w:gridCol w:w="1093"/>
        <w:gridCol w:w="1107"/>
        <w:gridCol w:w="1354"/>
        <w:gridCol w:w="1261"/>
      </w:tblGrid>
      <w:tr w:rsidR="006A7D61" w:rsidRPr="00A446D6" w14:paraId="2739BD33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5AE23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6627B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D0CDC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31749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10A4F" w14:textId="20F182F5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55AC8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Comparison (2023 -2022)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87B93" w14:textId="77777777" w:rsidR="006A7D61" w:rsidRPr="00A446D6" w:rsidRDefault="006A7D61" w:rsidP="006A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Comparison (2023/2022)</w:t>
            </w:r>
          </w:p>
        </w:tc>
      </w:tr>
      <w:tr w:rsidR="003D38EC" w:rsidRPr="00A446D6" w14:paraId="4EB86C38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C1EA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1A1D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9E084" w14:textId="62F1FED6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6D8BB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1,976.9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5614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1,746.3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2282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(230.6)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8C2D73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88%</w:t>
            </w:r>
          </w:p>
        </w:tc>
      </w:tr>
      <w:tr w:rsidR="003D38EC" w:rsidRPr="00A446D6" w14:paraId="18B1CC22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C7936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2D06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Revenue deductions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CE33" w14:textId="015B419B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D43E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0.1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2084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430B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(0.1)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E64E6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D38EC" w:rsidRPr="00A446D6" w14:paraId="3C044763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1028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9D3A5" w14:textId="1E8A18DA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 xml:space="preserve">Net revenue from </w:t>
            </w:r>
            <w:r w:rsidR="006A7D61" w:rsidRPr="00A446D6">
              <w:rPr>
                <w:rFonts w:ascii="Arial" w:hAnsi="Arial" w:cs="Arial"/>
                <w:color w:val="010000"/>
                <w:sz w:val="20"/>
              </w:rPr>
              <w:t>Goods sale</w:t>
            </w:r>
            <w:r w:rsidRPr="00A446D6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446D6">
              <w:rPr>
                <w:rFonts w:ascii="Arial" w:hAnsi="Arial" w:cs="Arial"/>
                <w:color w:val="010000"/>
                <w:sz w:val="20"/>
              </w:rPr>
              <w:lastRenderedPageBreak/>
              <w:t>and service provision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9578D" w14:textId="3954265A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lastRenderedPageBreak/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0AAB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1,976.8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311C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1,746.3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E596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(230.5)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8E19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88%</w:t>
            </w:r>
          </w:p>
        </w:tc>
      </w:tr>
      <w:tr w:rsidR="003D38EC" w:rsidRPr="00A446D6" w14:paraId="650C2A7F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3646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F892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E614E" w14:textId="576196E4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7E4F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1,764.8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8E79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1,104.2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AA89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(660.5)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1621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63%</w:t>
            </w:r>
          </w:p>
        </w:tc>
      </w:tr>
      <w:tr w:rsidR="003D38EC" w:rsidRPr="00A446D6" w14:paraId="0DBF1E50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741C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40C0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DFEA6" w14:textId="08439F62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EF03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42.2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118A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43.6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BE03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5692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103%</w:t>
            </w:r>
          </w:p>
        </w:tc>
      </w:tr>
      <w:tr w:rsidR="003D38EC" w:rsidRPr="00A446D6" w14:paraId="584BF909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A982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D3AF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Financial expense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BBAD3" w14:textId="0D527469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AE0C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38.3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D3D7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32.8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C6AB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(5.5)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65F1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86%</w:t>
            </w:r>
          </w:p>
        </w:tc>
      </w:tr>
      <w:tr w:rsidR="003D38EC" w:rsidRPr="00A446D6" w14:paraId="74BF693C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DA0C3" w14:textId="77777777" w:rsidR="003D38EC" w:rsidRPr="00A446D6" w:rsidRDefault="003D38EC" w:rsidP="0087116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D588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- Of which: Interest expense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9AD92" w14:textId="0D4B9856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4B046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5.3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B5F6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7.5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78A1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9A3D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142%</w:t>
            </w:r>
          </w:p>
        </w:tc>
      </w:tr>
      <w:tr w:rsidR="003D38EC" w:rsidRPr="00A446D6" w14:paraId="31E7BA9F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525D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9C3D6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A9FAB" w14:textId="668C830D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C1C1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63.0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D93D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53.1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C7205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(9.9)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F1364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84%</w:t>
            </w:r>
          </w:p>
        </w:tc>
      </w:tr>
      <w:tr w:rsidR="003D38EC" w:rsidRPr="00A446D6" w14:paraId="7ED001DB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F30B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BC25A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BDE8B" w14:textId="204757D0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57167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123.6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C86BD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107.1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9C01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(16.5)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5FB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87%</w:t>
            </w:r>
          </w:p>
        </w:tc>
      </w:tr>
      <w:tr w:rsidR="003D38EC" w:rsidRPr="00A446D6" w14:paraId="34E25420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438C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3EF42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Other income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E8833" w14:textId="6D503585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BE279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0.8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BFC8B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0.9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4505E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0.03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BE0F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103%</w:t>
            </w:r>
          </w:p>
        </w:tc>
      </w:tr>
      <w:tr w:rsidR="003D38EC" w:rsidRPr="00A446D6" w14:paraId="4F42DE64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214C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42F98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Other expense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2CC7D" w14:textId="6F4C55A6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B8AF6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0.02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ED803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0.5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199F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0.5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D9A3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2722%</w:t>
            </w:r>
          </w:p>
        </w:tc>
      </w:tr>
      <w:tr w:rsidR="003D38EC" w:rsidRPr="00A446D6" w14:paraId="545CC1EF" w14:textId="77777777" w:rsidTr="00D22675">
        <w:tc>
          <w:tcPr>
            <w:tcW w:w="2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A8010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5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FC891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E4BF2" w14:textId="3BE7372F" w:rsidR="003D38EC" w:rsidRPr="00A446D6" w:rsidRDefault="006A7D61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8AFC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30.1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4B9FF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19.1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013F4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(11.0)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A207B" w14:textId="77777777" w:rsidR="003D38EC" w:rsidRPr="00A446D6" w:rsidRDefault="00871169" w:rsidP="0087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6D6">
              <w:rPr>
                <w:rFonts w:ascii="Arial" w:hAnsi="Arial" w:cs="Arial"/>
                <w:color w:val="010000"/>
                <w:sz w:val="20"/>
              </w:rPr>
              <w:t>63%</w:t>
            </w:r>
          </w:p>
        </w:tc>
      </w:tr>
    </w:tbl>
    <w:p w14:paraId="0588DF58" w14:textId="77777777" w:rsidR="003D38EC" w:rsidRPr="00A446D6" w:rsidRDefault="00871169" w:rsidP="00D226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Some key solutions in 2024:</w:t>
      </w:r>
    </w:p>
    <w:p w14:paraId="6EECED8F" w14:textId="3F62760B" w:rsidR="003D38EC" w:rsidRPr="00A446D6" w:rsidRDefault="006A7D61" w:rsidP="00D226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 xml:space="preserve">On the </w:t>
      </w:r>
      <w:r w:rsidR="00871169" w:rsidRPr="00A446D6">
        <w:rPr>
          <w:rFonts w:ascii="Arial" w:hAnsi="Arial" w:cs="Arial"/>
          <w:color w:val="010000"/>
          <w:sz w:val="20"/>
        </w:rPr>
        <w:t>Macro</w:t>
      </w:r>
      <w:r w:rsidR="00A446D6" w:rsidRPr="00A446D6">
        <w:rPr>
          <w:rFonts w:ascii="Arial" w:hAnsi="Arial" w:cs="Arial"/>
          <w:color w:val="010000"/>
          <w:sz w:val="20"/>
        </w:rPr>
        <w:t xml:space="preserve"> level</w:t>
      </w:r>
      <w:r w:rsidR="00871169" w:rsidRPr="00A446D6">
        <w:rPr>
          <w:rFonts w:ascii="Arial" w:hAnsi="Arial" w:cs="Arial"/>
          <w:color w:val="010000"/>
          <w:sz w:val="20"/>
        </w:rPr>
        <w:t xml:space="preserve">: Strengthen relationships with large customers to develop vertically and enter chains in a sustainable way. Take Creativity, ODM and sourcing </w:t>
      </w:r>
      <w:r w:rsidR="00A446D6" w:rsidRPr="00A446D6">
        <w:rPr>
          <w:rFonts w:ascii="Arial" w:hAnsi="Arial" w:cs="Arial"/>
          <w:color w:val="010000"/>
          <w:sz w:val="20"/>
        </w:rPr>
        <w:t xml:space="preserve">Centers </w:t>
      </w:r>
      <w:r w:rsidR="00871169" w:rsidRPr="00A446D6">
        <w:rPr>
          <w:rFonts w:ascii="Arial" w:hAnsi="Arial" w:cs="Arial"/>
          <w:color w:val="010000"/>
          <w:sz w:val="20"/>
        </w:rPr>
        <w:t>as the foundation to create strength and power for</w:t>
      </w:r>
      <w:r w:rsidR="00A446D6" w:rsidRPr="00A446D6">
        <w:rPr>
          <w:rFonts w:ascii="Arial" w:hAnsi="Arial" w:cs="Arial"/>
          <w:color w:val="010000"/>
          <w:sz w:val="20"/>
        </w:rPr>
        <w:t xml:space="preserve"> the Corporation.</w:t>
      </w:r>
    </w:p>
    <w:p w14:paraId="126288CE" w14:textId="574689FC" w:rsidR="003D38EC" w:rsidRPr="00A446D6" w:rsidRDefault="00871169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 xml:space="preserve">Assign and reappoint leaders from the corporate office to units in the company system; clarify the responsibilities of leaders and be proactive in running work to strengthen the strength of units; Encourage the system to actively transform to mature and overcome </w:t>
      </w:r>
      <w:r w:rsidR="00D22675">
        <w:rPr>
          <w:rFonts w:ascii="Arial" w:hAnsi="Arial" w:cs="Arial"/>
          <w:color w:val="010000"/>
          <w:sz w:val="20"/>
        </w:rPr>
        <w:t>odds</w:t>
      </w:r>
      <w:r w:rsidRPr="00A446D6">
        <w:rPr>
          <w:rFonts w:ascii="Arial" w:hAnsi="Arial" w:cs="Arial"/>
          <w:color w:val="010000"/>
          <w:sz w:val="20"/>
        </w:rPr>
        <w:t xml:space="preserve"> and challenges.</w:t>
      </w:r>
    </w:p>
    <w:p w14:paraId="6926F211" w14:textId="77777777" w:rsidR="003D38EC" w:rsidRPr="00A446D6" w:rsidRDefault="00871169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Put the Creative Center into operation in coordination with other parts of the system to promote strength and connect customers more closely and effectively.</w:t>
      </w:r>
    </w:p>
    <w:p w14:paraId="16216EF7" w14:textId="548EE723" w:rsidR="003D38EC" w:rsidRPr="00A446D6" w:rsidRDefault="00871169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 xml:space="preserve">Promote marketing and trade promotion activities and continue to participate in major customer contact channels in </w:t>
      </w:r>
      <w:r w:rsidR="00A446D6" w:rsidRPr="00A446D6">
        <w:rPr>
          <w:rFonts w:ascii="Arial" w:hAnsi="Arial" w:cs="Arial"/>
          <w:color w:val="010000"/>
          <w:sz w:val="20"/>
        </w:rPr>
        <w:t xml:space="preserve">the </w:t>
      </w:r>
      <w:r w:rsidRPr="00A446D6">
        <w:rPr>
          <w:rFonts w:ascii="Arial" w:hAnsi="Arial" w:cs="Arial"/>
          <w:color w:val="010000"/>
          <w:sz w:val="20"/>
        </w:rPr>
        <w:t xml:space="preserve">US, European, and Japanese markets. Continue to promote selective Russian </w:t>
      </w:r>
      <w:r w:rsidR="00A446D6" w:rsidRPr="00A446D6">
        <w:rPr>
          <w:rFonts w:ascii="Arial" w:hAnsi="Arial" w:cs="Arial"/>
          <w:color w:val="010000"/>
          <w:sz w:val="20"/>
        </w:rPr>
        <w:t>markets</w:t>
      </w:r>
      <w:r w:rsidRPr="00A446D6">
        <w:rPr>
          <w:rFonts w:ascii="Arial" w:hAnsi="Arial" w:cs="Arial"/>
          <w:color w:val="010000"/>
          <w:sz w:val="20"/>
        </w:rPr>
        <w:t xml:space="preserve"> and safe payments.</w:t>
      </w:r>
    </w:p>
    <w:p w14:paraId="1BAAA5B7" w14:textId="77777777" w:rsidR="003D38EC" w:rsidRPr="00A446D6" w:rsidRDefault="00871169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Increase the application of high technology, AI and innovation in design, production stages and quality management. Improve the activities of R&amp;D centers.</w:t>
      </w:r>
    </w:p>
    <w:p w14:paraId="7CA428DB" w14:textId="77777777" w:rsidR="003D38EC" w:rsidRPr="00A446D6" w:rsidRDefault="00871169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Promote marketing to expand the domestic market including: uniforms and fashion. Continue to strengthen the apparatus and learn from operations in 2023 to increase the competitiveness of trading companies.</w:t>
      </w:r>
    </w:p>
    <w:p w14:paraId="40C04F6C" w14:textId="77777777" w:rsidR="003D38EC" w:rsidRPr="00A446D6" w:rsidRDefault="00871169" w:rsidP="00D226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6D6">
        <w:rPr>
          <w:rFonts w:ascii="Arial" w:hAnsi="Arial" w:cs="Arial"/>
          <w:color w:val="010000"/>
          <w:sz w:val="20"/>
        </w:rPr>
        <w:t>Other contents:</w:t>
      </w:r>
    </w:p>
    <w:p w14:paraId="04AAC8F1" w14:textId="07FDF0D8" w:rsidR="003D38EC" w:rsidRPr="00A446D6" w:rsidRDefault="00D22675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</w:t>
      </w:r>
      <w:r w:rsidR="00A446D6" w:rsidRPr="00A446D6">
        <w:rPr>
          <w:rFonts w:ascii="Arial" w:hAnsi="Arial" w:cs="Arial"/>
          <w:color w:val="010000"/>
          <w:sz w:val="20"/>
        </w:rPr>
        <w:t>xpected</w:t>
      </w:r>
      <w:r w:rsidR="00871169" w:rsidRPr="00A446D6">
        <w:rPr>
          <w:rFonts w:ascii="Arial" w:hAnsi="Arial" w:cs="Arial"/>
          <w:color w:val="010000"/>
          <w:sz w:val="20"/>
        </w:rPr>
        <w:t xml:space="preserve"> date for the Annual General Meeting 2024 is on</w:t>
      </w:r>
      <w:r w:rsidR="00A446D6" w:rsidRPr="00A446D6">
        <w:rPr>
          <w:rFonts w:ascii="Arial" w:hAnsi="Arial" w:cs="Arial"/>
          <w:color w:val="010000"/>
          <w:sz w:val="20"/>
        </w:rPr>
        <w:t xml:space="preserve"> </w:t>
      </w:r>
      <w:r w:rsidR="00871169" w:rsidRPr="00A446D6">
        <w:rPr>
          <w:rFonts w:ascii="Arial" w:hAnsi="Arial" w:cs="Arial"/>
          <w:color w:val="010000"/>
          <w:sz w:val="20"/>
        </w:rPr>
        <w:t xml:space="preserve">April 20, 2024; </w:t>
      </w:r>
    </w:p>
    <w:p w14:paraId="26EB8252" w14:textId="64763C8A" w:rsidR="003D38EC" w:rsidRPr="00A446D6" w:rsidRDefault="00D22675" w:rsidP="00D22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Record</w:t>
      </w:r>
      <w:r w:rsidR="00871169" w:rsidRPr="00A446D6">
        <w:rPr>
          <w:rFonts w:ascii="Arial" w:hAnsi="Arial" w:cs="Arial"/>
          <w:color w:val="010000"/>
          <w:sz w:val="20"/>
        </w:rPr>
        <w:t xml:space="preserve"> list of shareholders attending the Annual General Meeting 2024 on March 25, 2024. </w:t>
      </w:r>
    </w:p>
    <w:p w14:paraId="33F3432E" w14:textId="16B0903D" w:rsidR="003D38EC" w:rsidRPr="00A446D6" w:rsidRDefault="00D22675" w:rsidP="00D226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 w:cs="Arial"/>
          <w:color w:val="010000"/>
          <w:sz w:val="20"/>
        </w:rPr>
        <w:t>This Board</w:t>
      </w:r>
      <w:bookmarkStart w:id="1" w:name="_GoBack"/>
      <w:bookmarkEnd w:id="1"/>
      <w:r w:rsidR="00871169" w:rsidRPr="00A446D6">
        <w:rPr>
          <w:rFonts w:ascii="Arial" w:hAnsi="Arial" w:cs="Arial"/>
          <w:color w:val="010000"/>
          <w:sz w:val="20"/>
        </w:rPr>
        <w:t xml:space="preserve"> </w:t>
      </w:r>
      <w:r w:rsidR="00A446D6" w:rsidRPr="00A446D6">
        <w:rPr>
          <w:rFonts w:ascii="Arial" w:hAnsi="Arial" w:cs="Arial"/>
          <w:color w:val="010000"/>
          <w:sz w:val="20"/>
        </w:rPr>
        <w:t xml:space="preserve">Resolution </w:t>
      </w:r>
      <w:r w:rsidR="00871169" w:rsidRPr="00A446D6">
        <w:rPr>
          <w:rFonts w:ascii="Arial" w:hAnsi="Arial" w:cs="Arial"/>
          <w:color w:val="010000"/>
          <w:sz w:val="20"/>
        </w:rPr>
        <w:t xml:space="preserve">of the meeting of the Board of Directors of Duc Giang Corporation was approved </w:t>
      </w:r>
      <w:r w:rsidR="00871169" w:rsidRPr="00A446D6">
        <w:rPr>
          <w:rFonts w:ascii="Arial" w:hAnsi="Arial" w:cs="Arial"/>
          <w:color w:val="010000"/>
          <w:sz w:val="20"/>
        </w:rPr>
        <w:lastRenderedPageBreak/>
        <w:t>by the members of the Board of Directors.</w:t>
      </w:r>
    </w:p>
    <w:sectPr w:rsidR="003D38EC" w:rsidRPr="00A446D6" w:rsidSect="0087116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0B2"/>
    <w:multiLevelType w:val="multilevel"/>
    <w:tmpl w:val="7884054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174546"/>
    <w:multiLevelType w:val="multilevel"/>
    <w:tmpl w:val="B900B7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760F66"/>
    <w:multiLevelType w:val="multilevel"/>
    <w:tmpl w:val="DC322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EC"/>
    <w:rsid w:val="003D38EC"/>
    <w:rsid w:val="006A7D61"/>
    <w:rsid w:val="00871169"/>
    <w:rsid w:val="00A446D6"/>
    <w:rsid w:val="00D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C402C"/>
  <w15:docId w15:val="{FC145ADE-9A48-4412-A609-393C6C0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792E36"/>
      <w:w w:val="7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2E36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92E36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Calibri" w:eastAsia="Calibri" w:hAnsi="Calibri" w:cs="Calibri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Arial Narrow" w:eastAsia="Arial Narrow" w:hAnsi="Arial Narrow" w:cs="Arial Narrow"/>
      <w:b/>
      <w:bCs/>
      <w:color w:val="792E36"/>
      <w:w w:val="70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line="21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color w:val="792E36"/>
      <w:sz w:val="16"/>
      <w:szCs w:val="16"/>
    </w:rPr>
  </w:style>
  <w:style w:type="paragraph" w:customStyle="1" w:styleId="Vnbnnidung30">
    <w:name w:val="Văn bản nội dung (3)"/>
    <w:basedOn w:val="Normal"/>
    <w:link w:val="Vnbnnidung3"/>
    <w:rPr>
      <w:rFonts w:ascii="Calibri" w:eastAsia="Calibri" w:hAnsi="Calibri" w:cs="Calibri"/>
      <w:sz w:val="18"/>
      <w:szCs w:val="18"/>
    </w:rPr>
  </w:style>
  <w:style w:type="paragraph" w:customStyle="1" w:styleId="Khc0">
    <w:name w:val="Khác"/>
    <w:basedOn w:val="Normal"/>
    <w:link w:val="Khc"/>
    <w:pPr>
      <w:spacing w:line="314" w:lineRule="auto"/>
    </w:pPr>
    <w:rPr>
      <w:rFonts w:ascii="Calibri" w:eastAsia="Calibri" w:hAnsi="Calibri" w:cs="Calibri"/>
      <w:sz w:val="22"/>
      <w:szCs w:val="22"/>
    </w:rPr>
  </w:style>
  <w:style w:type="paragraph" w:customStyle="1" w:styleId="Tiu20">
    <w:name w:val="Tiêu đề #2"/>
    <w:basedOn w:val="Normal"/>
    <w:link w:val="Tiu2"/>
    <w:pPr>
      <w:spacing w:line="247" w:lineRule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Calibri" w:eastAsia="Calibri" w:hAnsi="Calibri" w:cs="Calibri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194" w:lineRule="auto"/>
      <w:ind w:firstLine="440"/>
      <w:outlineLvl w:val="0"/>
    </w:pPr>
    <w:rPr>
      <w:rFonts w:ascii="Times New Roman" w:eastAsia="Times New Roman" w:hAnsi="Times New Roman" w:cs="Times New Roman"/>
      <w:smallCaps/>
      <w:color w:val="792E36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GAvpaCPNGkEBN1yaWVHM/uia2Q==">CgMxLjAyCGguZ2pkZ3hzOAByITF2T0JVNGVSRWJ2RWpOdUM4SzJfSHgtNzdha291aE5RRw==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2024-03-04T03:48:00Z</dcterms:created>
  <dcterms:modified xsi:type="dcterms:W3CDTF">2024-03-04T03:48:00Z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7a2f3664389dbe2f8b070ea7310027fd2aff1ea214be08b91ee559345fd17cfe</vt:lpwstr>
  </property>
</Properties>
</file>