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A3E8" w14:textId="77777777" w:rsidR="00CD0F48" w:rsidRPr="00806918" w:rsidRDefault="00A9521D" w:rsidP="007F7D09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6918">
        <w:rPr>
          <w:rFonts w:ascii="Arial" w:hAnsi="Arial" w:cs="Arial"/>
          <w:b/>
          <w:color w:val="010000"/>
          <w:sz w:val="20"/>
        </w:rPr>
        <w:t>SJE: Explanation of the profit after tax in th</w:t>
      </w:r>
      <w:bookmarkStart w:id="0" w:name="_GoBack"/>
      <w:bookmarkEnd w:id="0"/>
      <w:r w:rsidRPr="00806918">
        <w:rPr>
          <w:rFonts w:ascii="Arial" w:hAnsi="Arial" w:cs="Arial"/>
          <w:b/>
          <w:color w:val="010000"/>
          <w:sz w:val="20"/>
        </w:rPr>
        <w:t xml:space="preserve">e Combined Financial Statements </w:t>
      </w:r>
    </w:p>
    <w:p w14:paraId="3A28B2BB" w14:textId="69F3044E" w:rsidR="00CD0F48" w:rsidRPr="00806918" w:rsidRDefault="00A9521D" w:rsidP="007F7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918">
        <w:rPr>
          <w:rFonts w:ascii="Arial" w:hAnsi="Arial" w:cs="Arial"/>
          <w:color w:val="010000"/>
          <w:sz w:val="20"/>
        </w:rPr>
        <w:t>On February 28, 2024, Song Da No. 11 JSC announced Official Dispatch No. 116/SD11-TCKT on explaining the profit after tax in the Combined Financial Statements 2023 compared to that of 2022 after audit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37"/>
        <w:gridCol w:w="2308"/>
        <w:gridCol w:w="2186"/>
        <w:gridCol w:w="2186"/>
      </w:tblGrid>
      <w:tr w:rsidR="00CD0F48" w:rsidRPr="00806918" w14:paraId="1C6410A6" w14:textId="77777777" w:rsidTr="00A9521D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D734B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CE967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D024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79FA3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Rate of change (%)</w:t>
            </w:r>
          </w:p>
        </w:tc>
      </w:tr>
      <w:tr w:rsidR="00CD0F48" w:rsidRPr="00806918" w14:paraId="64068BBB" w14:textId="77777777" w:rsidTr="00A9521D"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F8161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Profit after tax in the Combined Financial Statements after audit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32E3F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56,785,339,156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1EFB8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64,863,450,097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62E99" w14:textId="77777777" w:rsidR="00CD0F48" w:rsidRPr="00806918" w:rsidRDefault="00A9521D" w:rsidP="007F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6918">
              <w:rPr>
                <w:rFonts w:ascii="Arial" w:hAnsi="Arial" w:cs="Arial"/>
                <w:color w:val="010000"/>
                <w:sz w:val="20"/>
              </w:rPr>
              <w:t>14.2%</w:t>
            </w:r>
          </w:p>
        </w:tc>
      </w:tr>
    </w:tbl>
    <w:p w14:paraId="6A2B715A" w14:textId="77777777" w:rsidR="00CD0F48" w:rsidRPr="00806918" w:rsidRDefault="00A9521D" w:rsidP="007F7D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918">
        <w:rPr>
          <w:rFonts w:ascii="Arial" w:hAnsi="Arial" w:cs="Arial"/>
          <w:color w:val="010000"/>
          <w:sz w:val="20"/>
        </w:rPr>
        <w:t>The reason why the realized profit after tax in the Combined Financial Statements 2023 after audit decreased by VND 8.08 billion, equivalent to a decrease of 14.2% compared to that of 2022:</w:t>
      </w:r>
    </w:p>
    <w:p w14:paraId="1FA88388" w14:textId="77777777" w:rsidR="00CD0F48" w:rsidRPr="00806918" w:rsidRDefault="00A9521D" w:rsidP="007F7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918">
        <w:rPr>
          <w:rFonts w:ascii="Arial" w:hAnsi="Arial" w:cs="Arial"/>
          <w:color w:val="010000"/>
          <w:sz w:val="20"/>
        </w:rPr>
        <w:t>The revenue from goods sales and service provision during the period decreased by VND 139.7 billion, equivalent to a decrease of 36.7%;</w:t>
      </w:r>
    </w:p>
    <w:p w14:paraId="1ECAB939" w14:textId="77777777" w:rsidR="00CD0F48" w:rsidRPr="00806918" w:rsidRDefault="00A9521D" w:rsidP="007F7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918">
        <w:rPr>
          <w:rFonts w:ascii="Arial" w:hAnsi="Arial" w:cs="Arial"/>
          <w:color w:val="010000"/>
          <w:sz w:val="20"/>
        </w:rPr>
        <w:t>Financial expenses during the period decreased by VND 2.98 billion, equivalent to a decrease of 3.5% compared to that of 2022;</w:t>
      </w:r>
    </w:p>
    <w:p w14:paraId="623077C0" w14:textId="77777777" w:rsidR="00CD0F48" w:rsidRPr="00806918" w:rsidRDefault="00A9521D" w:rsidP="007F7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918">
        <w:rPr>
          <w:rFonts w:ascii="Arial" w:hAnsi="Arial" w:cs="Arial"/>
          <w:color w:val="010000"/>
          <w:sz w:val="20"/>
        </w:rPr>
        <w:t>Other income during the period decreased by VND 26.1 billion compared to that of 2022.</w:t>
      </w:r>
    </w:p>
    <w:sectPr w:rsidR="00CD0F48" w:rsidRPr="00806918" w:rsidSect="00A952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1C9C"/>
    <w:multiLevelType w:val="multilevel"/>
    <w:tmpl w:val="0E2851E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8"/>
    <w:rsid w:val="007F7D09"/>
    <w:rsid w:val="00806918"/>
    <w:rsid w:val="00A9521D"/>
    <w:rsid w:val="00C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8500A"/>
  <w15:docId w15:val="{351E2B48-7362-4215-9D8A-3826904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222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ind w:firstLine="190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190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36" w:lineRule="auto"/>
    </w:pPr>
    <w:rPr>
      <w:rFonts w:ascii="Times New Roman" w:eastAsia="Times New Roman" w:hAnsi="Times New Roman" w:cs="Times New Roman"/>
      <w:i/>
      <w:iCs/>
      <w:color w:val="22222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lWG0Y6JHSECT81bWylcQ1CbjsQ==">CgMxLjA4AHIhMXpqUm9PU3dhRnktZFhmT2cwWWU1UGxJRmtkb3VNLVU1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4</cp:revision>
  <dcterms:created xsi:type="dcterms:W3CDTF">2024-03-01T03:37:00Z</dcterms:created>
  <dcterms:modified xsi:type="dcterms:W3CDTF">2024-03-04T03:25:00Z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dff9c2c6b2377966bd02e2abed6c93fd37cb50eb2350f399552aeb2cc5b1e228</vt:lpwstr>
  </property>
</Properties>
</file>