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D1C8" w14:textId="77777777" w:rsidR="005D39FC" w:rsidRPr="002734AD" w:rsidRDefault="00F04701" w:rsidP="006E587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734AD">
        <w:rPr>
          <w:rFonts w:ascii="Arial" w:hAnsi="Arial" w:cs="Arial"/>
          <w:b/>
          <w:color w:val="010000"/>
          <w:sz w:val="20"/>
        </w:rPr>
        <w:t xml:space="preserve">SJE: Explanation of the Profit after tax in the Consolidated Financial Statements </w:t>
      </w:r>
    </w:p>
    <w:p w14:paraId="6316B262" w14:textId="0ABB0C5E" w:rsidR="005D39FC" w:rsidRPr="002734AD" w:rsidRDefault="00F04701" w:rsidP="006E587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34AD">
        <w:rPr>
          <w:rFonts w:ascii="Arial" w:hAnsi="Arial" w:cs="Arial"/>
          <w:color w:val="010000"/>
          <w:sz w:val="20"/>
        </w:rPr>
        <w:t>On February 28, 2024, Song Da No. 11 J</w:t>
      </w:r>
      <w:bookmarkStart w:id="0" w:name="_GoBack"/>
      <w:bookmarkEnd w:id="0"/>
      <w:r w:rsidRPr="002734AD">
        <w:rPr>
          <w:rFonts w:ascii="Arial" w:hAnsi="Arial" w:cs="Arial"/>
          <w:color w:val="010000"/>
          <w:sz w:val="20"/>
        </w:rPr>
        <w:t>SC announced Official Dispatch No. 117/S</w:t>
      </w:r>
      <w:r w:rsidR="002734AD" w:rsidRPr="002734AD">
        <w:rPr>
          <w:rFonts w:ascii="Arial" w:hAnsi="Arial" w:cs="Arial"/>
          <w:color w:val="010000"/>
          <w:sz w:val="20"/>
        </w:rPr>
        <w:t>D</w:t>
      </w:r>
      <w:r w:rsidRPr="002734AD">
        <w:rPr>
          <w:rFonts w:ascii="Arial" w:hAnsi="Arial" w:cs="Arial"/>
          <w:color w:val="010000"/>
          <w:sz w:val="20"/>
        </w:rPr>
        <w:t>11-TCKT on explaining the profit after tax in the Consolidated Financial Statements 2023 after audit compared to that of 2022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30"/>
        <w:gridCol w:w="2301"/>
        <w:gridCol w:w="2198"/>
        <w:gridCol w:w="2188"/>
      </w:tblGrid>
      <w:tr w:rsidR="005D39FC" w:rsidRPr="002734AD" w14:paraId="140398BC" w14:textId="77777777" w:rsidTr="00F04701"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63370" w14:textId="77777777" w:rsidR="005D39FC" w:rsidRPr="002734AD" w:rsidRDefault="00F04701" w:rsidP="006E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047B8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C5DC0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5448D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Rate of change (%)</w:t>
            </w:r>
          </w:p>
        </w:tc>
      </w:tr>
      <w:tr w:rsidR="005D39FC" w:rsidRPr="002734AD" w14:paraId="5F2AE4B2" w14:textId="77777777" w:rsidTr="00F04701"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73105" w14:textId="77777777" w:rsidR="005D39FC" w:rsidRPr="002734AD" w:rsidRDefault="00F04701" w:rsidP="006E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Profit after tax in the Consolidated Financial Statements after audit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08D05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89,043,164,149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ECA7D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71,515,448,946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AF6CD" w14:textId="77777777" w:rsidR="005D39FC" w:rsidRPr="002734AD" w:rsidRDefault="00F04701" w:rsidP="004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34AD">
              <w:rPr>
                <w:rFonts w:ascii="Arial" w:hAnsi="Arial" w:cs="Arial"/>
                <w:color w:val="010000"/>
                <w:sz w:val="20"/>
              </w:rPr>
              <w:t>19.7%</w:t>
            </w:r>
          </w:p>
        </w:tc>
      </w:tr>
    </w:tbl>
    <w:p w14:paraId="0B9472C9" w14:textId="77777777" w:rsidR="005D39FC" w:rsidRPr="002734AD" w:rsidRDefault="00F04701" w:rsidP="006E587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34AD">
        <w:rPr>
          <w:rFonts w:ascii="Arial" w:hAnsi="Arial" w:cs="Arial"/>
          <w:color w:val="010000"/>
          <w:sz w:val="20"/>
        </w:rPr>
        <w:t>The reason why the realized profit after tax in the Consolidated Financial Statements 2023 after audit increased by VND 17.5 billion, equivalent to an increase of 19.7% compared to that of 2022:</w:t>
      </w:r>
    </w:p>
    <w:p w14:paraId="107DDDBD" w14:textId="5273AB9B" w:rsidR="005D39FC" w:rsidRPr="002734AD" w:rsidRDefault="00F04701" w:rsidP="006E5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34AD">
        <w:rPr>
          <w:rFonts w:ascii="Arial" w:hAnsi="Arial" w:cs="Arial"/>
          <w:color w:val="010000"/>
          <w:sz w:val="20"/>
        </w:rPr>
        <w:t xml:space="preserve">The general and administrative expense during the period decreased by VND 53.4 billion, equivalent to a decrease of 164.2%, because Song </w:t>
      </w:r>
      <w:proofErr w:type="gramStart"/>
      <w:r w:rsidRPr="002734AD">
        <w:rPr>
          <w:rFonts w:ascii="Arial" w:hAnsi="Arial" w:cs="Arial"/>
          <w:color w:val="010000"/>
          <w:sz w:val="20"/>
        </w:rPr>
        <w:t>Da</w:t>
      </w:r>
      <w:proofErr w:type="gramEnd"/>
      <w:r w:rsidRPr="002734AD">
        <w:rPr>
          <w:rFonts w:ascii="Arial" w:hAnsi="Arial" w:cs="Arial"/>
          <w:color w:val="010000"/>
          <w:sz w:val="20"/>
        </w:rPr>
        <w:t xml:space="preserve"> No. 11 JSC and Song Da 11 Thang Long One Member Company Limited (The Holding Company owns 100% of the capital) have a reversal of provisions for doubtful receivables.</w:t>
      </w:r>
    </w:p>
    <w:sectPr w:rsidR="005D39FC" w:rsidRPr="002734AD" w:rsidSect="00F0470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5E9"/>
    <w:multiLevelType w:val="multilevel"/>
    <w:tmpl w:val="8A82375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FC"/>
    <w:rsid w:val="002734AD"/>
    <w:rsid w:val="004A26FB"/>
    <w:rsid w:val="005D39FC"/>
    <w:rsid w:val="006E5873"/>
    <w:rsid w:val="00F0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CAC91"/>
  <w15:docId w15:val="{351E2B48-7362-4215-9D8A-3826904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qA2OsdzSCZGZ9hwoH+utsOTUw==">CgMxLjA4AHIhMWRGalVnMUNxOFdHZmRuQldUZG9fOU1kVlI4SzBleS1K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Phuong Thao</cp:lastModifiedBy>
  <cp:revision>6</cp:revision>
  <dcterms:created xsi:type="dcterms:W3CDTF">2024-03-01T03:41:00Z</dcterms:created>
  <dcterms:modified xsi:type="dcterms:W3CDTF">2024-03-04T03:25:00Z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74c907ec6b79758561ea0bc2e5eb478d3b730965f37885e5a7947bdb8e0a3b20</vt:lpwstr>
  </property>
</Properties>
</file>