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0FCFEC" w:rsidR="00D61D0A" w:rsidRPr="000C25C7" w:rsidRDefault="00B27546" w:rsidP="00B074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25C7">
        <w:rPr>
          <w:rFonts w:ascii="Arial" w:hAnsi="Arial" w:cs="Arial"/>
          <w:b/>
          <w:color w:val="010000"/>
          <w:sz w:val="20"/>
        </w:rPr>
        <w:t>ACE: Board Resolution</w:t>
      </w:r>
    </w:p>
    <w:p w14:paraId="00000002" w14:textId="4E52DD04" w:rsidR="00D61D0A" w:rsidRPr="000C25C7" w:rsidRDefault="00B27546" w:rsidP="00B074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 xml:space="preserve">On February 28, 2024, An Giang Centrifugal Concrete Joint Stock Company announced Resolution No. 05/NQ-ACECO-HDQT on the organization of the Annual </w:t>
      </w:r>
      <w:r w:rsidR="00B0741A">
        <w:rPr>
          <w:rFonts w:ascii="Arial" w:hAnsi="Arial" w:cs="Arial"/>
          <w:color w:val="010000"/>
          <w:sz w:val="20"/>
        </w:rPr>
        <w:t>General Meeting</w:t>
      </w:r>
      <w:r w:rsidRPr="000C25C7">
        <w:rPr>
          <w:rFonts w:ascii="Arial" w:hAnsi="Arial" w:cs="Arial"/>
          <w:color w:val="010000"/>
          <w:sz w:val="20"/>
        </w:rPr>
        <w:t xml:space="preserve"> 2024 and dividends prepayment for the first </w:t>
      </w:r>
      <w:r w:rsidR="000C25C7" w:rsidRPr="000C25C7">
        <w:rPr>
          <w:rFonts w:ascii="Arial" w:hAnsi="Arial" w:cs="Arial"/>
          <w:color w:val="010000"/>
          <w:sz w:val="20"/>
        </w:rPr>
        <w:t>round</w:t>
      </w:r>
      <w:r w:rsidRPr="000C25C7">
        <w:rPr>
          <w:rFonts w:ascii="Arial" w:hAnsi="Arial" w:cs="Arial"/>
          <w:color w:val="010000"/>
          <w:sz w:val="20"/>
        </w:rPr>
        <w:t xml:space="preserve"> of 2023 as follows:</w:t>
      </w:r>
    </w:p>
    <w:p w14:paraId="00000003" w14:textId="7A68AAAA" w:rsidR="00D61D0A" w:rsidRPr="000C25C7" w:rsidRDefault="00B27546" w:rsidP="00B074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 xml:space="preserve">‎‎Article 1. </w:t>
      </w:r>
      <w:r w:rsidR="00B0741A">
        <w:rPr>
          <w:rFonts w:ascii="Arial" w:hAnsi="Arial" w:cs="Arial"/>
          <w:color w:val="010000"/>
          <w:sz w:val="20"/>
        </w:rPr>
        <w:t>Convene</w:t>
      </w:r>
      <w:r w:rsidRPr="000C25C7">
        <w:rPr>
          <w:rFonts w:ascii="Arial" w:hAnsi="Arial" w:cs="Arial"/>
          <w:color w:val="010000"/>
          <w:sz w:val="20"/>
        </w:rPr>
        <w:t xml:space="preserve"> the Annual </w:t>
      </w:r>
      <w:r w:rsidR="00B0741A">
        <w:rPr>
          <w:rFonts w:ascii="Arial" w:hAnsi="Arial" w:cs="Arial"/>
          <w:color w:val="010000"/>
          <w:sz w:val="20"/>
        </w:rPr>
        <w:t>General Meeting</w:t>
      </w:r>
      <w:r w:rsidRPr="000C25C7">
        <w:rPr>
          <w:rFonts w:ascii="Arial" w:hAnsi="Arial" w:cs="Arial"/>
          <w:color w:val="010000"/>
          <w:sz w:val="20"/>
        </w:rPr>
        <w:t xml:space="preserve"> 2024 and implement dividends prepayment for the first </w:t>
      </w:r>
      <w:r w:rsidR="000C25C7" w:rsidRPr="000C25C7">
        <w:rPr>
          <w:rFonts w:ascii="Arial" w:hAnsi="Arial" w:cs="Arial"/>
          <w:color w:val="010000"/>
          <w:sz w:val="20"/>
        </w:rPr>
        <w:t xml:space="preserve">round </w:t>
      </w:r>
      <w:r w:rsidRPr="000C25C7">
        <w:rPr>
          <w:rFonts w:ascii="Arial" w:hAnsi="Arial" w:cs="Arial"/>
          <w:color w:val="010000"/>
          <w:sz w:val="20"/>
        </w:rPr>
        <w:t xml:space="preserve">of 2023 in cash as </w:t>
      </w:r>
      <w:r w:rsidR="000C25C7" w:rsidRPr="000C25C7">
        <w:rPr>
          <w:rFonts w:ascii="Arial" w:hAnsi="Arial" w:cs="Arial"/>
          <w:color w:val="010000"/>
          <w:sz w:val="20"/>
        </w:rPr>
        <w:t>follows</w:t>
      </w:r>
      <w:r w:rsidRPr="000C25C7">
        <w:rPr>
          <w:rFonts w:ascii="Arial" w:hAnsi="Arial" w:cs="Arial"/>
          <w:color w:val="010000"/>
          <w:sz w:val="20"/>
        </w:rPr>
        <w:t>:</w:t>
      </w:r>
    </w:p>
    <w:p w14:paraId="00000004" w14:textId="296C6E59" w:rsidR="00D61D0A" w:rsidRPr="000C25C7" w:rsidRDefault="00B0741A" w:rsidP="00B07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8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Convene</w:t>
      </w:r>
      <w:r w:rsidR="00B27546" w:rsidRPr="000C25C7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B27546" w:rsidRPr="000C25C7">
        <w:rPr>
          <w:rFonts w:ascii="Arial" w:hAnsi="Arial" w:cs="Arial"/>
          <w:color w:val="010000"/>
          <w:sz w:val="20"/>
        </w:rPr>
        <w:t xml:space="preserve"> 2024:</w:t>
      </w:r>
    </w:p>
    <w:p w14:paraId="00000005" w14:textId="77777777" w:rsidR="00D61D0A" w:rsidRPr="000C25C7" w:rsidRDefault="00B27546" w:rsidP="00B07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>Record date for the list of shareholders: March 21, 2024</w:t>
      </w:r>
    </w:p>
    <w:p w14:paraId="00000006" w14:textId="64E6CC51" w:rsidR="00D61D0A" w:rsidRPr="000C25C7" w:rsidRDefault="00B0741A" w:rsidP="00B07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B27546" w:rsidRPr="000C25C7">
        <w:rPr>
          <w:rFonts w:ascii="Arial" w:hAnsi="Arial" w:cs="Arial"/>
          <w:color w:val="010000"/>
          <w:sz w:val="20"/>
        </w:rPr>
        <w:t>: April 2024</w:t>
      </w:r>
    </w:p>
    <w:p w14:paraId="00000007" w14:textId="77777777" w:rsidR="00D61D0A" w:rsidRPr="000C25C7" w:rsidRDefault="00B27546" w:rsidP="00B07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>Venue: The Company will announce later</w:t>
      </w:r>
    </w:p>
    <w:p w14:paraId="00000008" w14:textId="5F698AFB" w:rsidR="00D61D0A" w:rsidRPr="000C25C7" w:rsidRDefault="00B27546" w:rsidP="00B07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 xml:space="preserve">Major Content: Approve the Board of Directors' Report, the Board of Managers' Report, the Supervisory Board’s Report on the Production and Business Results for 2023; approve the Audited Financial </w:t>
      </w:r>
      <w:r w:rsidR="000C25C7" w:rsidRPr="000C25C7">
        <w:rPr>
          <w:rFonts w:ascii="Arial" w:hAnsi="Arial" w:cs="Arial"/>
          <w:color w:val="010000"/>
          <w:sz w:val="20"/>
        </w:rPr>
        <w:t>Statements</w:t>
      </w:r>
      <w:r w:rsidRPr="000C25C7">
        <w:rPr>
          <w:rFonts w:ascii="Arial" w:hAnsi="Arial" w:cs="Arial"/>
          <w:color w:val="010000"/>
          <w:sz w:val="20"/>
        </w:rPr>
        <w:t xml:space="preserve"> 2023, the distribution of profits for 2023; the production and business plan for 2024 and other related issues.</w:t>
      </w:r>
    </w:p>
    <w:p w14:paraId="00000009" w14:textId="77777777" w:rsidR="00D61D0A" w:rsidRPr="000C25C7" w:rsidRDefault="00B27546" w:rsidP="00B07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1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>First dividends prepayment 2023 in cash.</w:t>
      </w:r>
    </w:p>
    <w:p w14:paraId="0000000A" w14:textId="7FA6D3CC" w:rsidR="00D61D0A" w:rsidRPr="000C25C7" w:rsidRDefault="00B27546" w:rsidP="00B074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 xml:space="preserve">Record date for the list of shareholders: On March 21, 2024 (according to the list of shareholders to attend the Annual </w:t>
      </w:r>
      <w:r w:rsidR="00B0741A">
        <w:rPr>
          <w:rFonts w:ascii="Arial" w:hAnsi="Arial" w:cs="Arial"/>
          <w:color w:val="010000"/>
          <w:sz w:val="20"/>
        </w:rPr>
        <w:t>General Meeting</w:t>
      </w:r>
      <w:r w:rsidRPr="000C25C7">
        <w:rPr>
          <w:rFonts w:ascii="Arial" w:hAnsi="Arial" w:cs="Arial"/>
          <w:color w:val="010000"/>
          <w:sz w:val="20"/>
        </w:rPr>
        <w:t xml:space="preserve"> 2024)</w:t>
      </w:r>
    </w:p>
    <w:p w14:paraId="0000000B" w14:textId="112B6AEC" w:rsidR="00D61D0A" w:rsidRPr="000C25C7" w:rsidRDefault="00B0741A" w:rsidP="00B074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rate: 10%/</w:t>
      </w:r>
      <w:r w:rsidR="00B27546" w:rsidRPr="000C25C7">
        <w:rPr>
          <w:rFonts w:ascii="Arial" w:hAnsi="Arial" w:cs="Arial"/>
          <w:color w:val="010000"/>
          <w:sz w:val="20"/>
        </w:rPr>
        <w:t>charter capital (01 share equals to VND 1,000)</w:t>
      </w:r>
    </w:p>
    <w:p w14:paraId="0000000C" w14:textId="5E70E0DD" w:rsidR="00D61D0A" w:rsidRPr="000C25C7" w:rsidRDefault="00B0741A" w:rsidP="00B074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B27546" w:rsidRPr="000C25C7">
        <w:rPr>
          <w:rFonts w:ascii="Arial" w:hAnsi="Arial" w:cs="Arial"/>
          <w:color w:val="010000"/>
          <w:sz w:val="20"/>
        </w:rPr>
        <w:t>: on May 30, 2024</w:t>
      </w:r>
    </w:p>
    <w:p w14:paraId="0000000D" w14:textId="3A733410" w:rsidR="00D61D0A" w:rsidRPr="000C25C7" w:rsidRDefault="00B27546" w:rsidP="00B074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>‎‎Article</w:t>
      </w:r>
      <w:r w:rsidR="00B0741A">
        <w:rPr>
          <w:rFonts w:ascii="Arial" w:hAnsi="Arial" w:cs="Arial"/>
          <w:color w:val="010000"/>
          <w:sz w:val="20"/>
        </w:rPr>
        <w:t xml:space="preserve"> 2. Assign the Company's Managing Director</w:t>
      </w:r>
      <w:r w:rsidRPr="000C25C7">
        <w:rPr>
          <w:rFonts w:ascii="Arial" w:hAnsi="Arial" w:cs="Arial"/>
          <w:color w:val="010000"/>
          <w:sz w:val="20"/>
        </w:rPr>
        <w:t xml:space="preserve"> to implement the procedures to record the list with the Viet</w:t>
      </w:r>
      <w:r w:rsidR="000C25C7" w:rsidRPr="000C25C7">
        <w:rPr>
          <w:rFonts w:ascii="Arial" w:hAnsi="Arial" w:cs="Arial"/>
          <w:color w:val="010000"/>
          <w:sz w:val="20"/>
        </w:rPr>
        <w:t>n</w:t>
      </w:r>
      <w:r w:rsidRPr="000C25C7">
        <w:rPr>
          <w:rFonts w:ascii="Arial" w:hAnsi="Arial" w:cs="Arial"/>
          <w:color w:val="010000"/>
          <w:sz w:val="20"/>
        </w:rPr>
        <w:t xml:space="preserve">am </w:t>
      </w:r>
      <w:r w:rsidR="000C25C7" w:rsidRPr="000C25C7">
        <w:rPr>
          <w:rFonts w:ascii="Arial" w:hAnsi="Arial" w:cs="Arial"/>
          <w:color w:val="010000"/>
          <w:sz w:val="20"/>
        </w:rPr>
        <w:t xml:space="preserve">Securities Depository </w:t>
      </w:r>
      <w:r w:rsidRPr="000C25C7">
        <w:rPr>
          <w:rFonts w:ascii="Arial" w:hAnsi="Arial" w:cs="Arial"/>
          <w:color w:val="010000"/>
          <w:sz w:val="20"/>
        </w:rPr>
        <w:t xml:space="preserve">and </w:t>
      </w:r>
      <w:r w:rsidR="000C25C7" w:rsidRPr="000C25C7">
        <w:rPr>
          <w:rFonts w:ascii="Arial" w:hAnsi="Arial" w:cs="Arial"/>
          <w:color w:val="010000"/>
          <w:sz w:val="20"/>
        </w:rPr>
        <w:t>Clearing Corporation</w:t>
      </w:r>
      <w:r w:rsidRPr="000C25C7">
        <w:rPr>
          <w:rFonts w:ascii="Arial" w:hAnsi="Arial" w:cs="Arial"/>
          <w:color w:val="010000"/>
          <w:sz w:val="20"/>
        </w:rPr>
        <w:t xml:space="preserve">, to decide on the time to hold the General Meeting and prepare the related contents, to inform shareholders/investors and to disclose information </w:t>
      </w:r>
      <w:r w:rsidR="00B0741A">
        <w:rPr>
          <w:rFonts w:ascii="Arial" w:hAnsi="Arial" w:cs="Arial"/>
          <w:color w:val="010000"/>
          <w:sz w:val="20"/>
        </w:rPr>
        <w:t xml:space="preserve">as per </w:t>
      </w:r>
      <w:r w:rsidRPr="000C25C7">
        <w:rPr>
          <w:rFonts w:ascii="Arial" w:hAnsi="Arial" w:cs="Arial"/>
          <w:color w:val="010000"/>
          <w:sz w:val="20"/>
        </w:rPr>
        <w:t>current regulations.</w:t>
      </w:r>
    </w:p>
    <w:p w14:paraId="0000000E" w14:textId="0B3AE393" w:rsidR="00D61D0A" w:rsidRPr="000C25C7" w:rsidRDefault="00B27546" w:rsidP="00B074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25C7">
        <w:rPr>
          <w:rFonts w:ascii="Arial" w:hAnsi="Arial" w:cs="Arial"/>
          <w:color w:val="010000"/>
          <w:sz w:val="20"/>
        </w:rPr>
        <w:t>‎‎Article 3. This</w:t>
      </w:r>
      <w:r w:rsidR="00B0741A">
        <w:rPr>
          <w:rFonts w:ascii="Arial" w:hAnsi="Arial" w:cs="Arial"/>
          <w:color w:val="010000"/>
          <w:sz w:val="20"/>
        </w:rPr>
        <w:t xml:space="preserve"> Board</w:t>
      </w:r>
      <w:r w:rsidRPr="000C25C7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B0741A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0C25C7">
        <w:rPr>
          <w:rFonts w:ascii="Arial" w:hAnsi="Arial" w:cs="Arial"/>
          <w:color w:val="010000"/>
          <w:sz w:val="20"/>
        </w:rPr>
        <w:t>and related departments are responsible for the implementation of this Resolution.</w:t>
      </w:r>
    </w:p>
    <w:sectPr w:rsidR="00D61D0A" w:rsidRPr="000C25C7" w:rsidSect="00B2754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08A2"/>
    <w:multiLevelType w:val="multilevel"/>
    <w:tmpl w:val="BAB073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C65F85"/>
    <w:multiLevelType w:val="multilevel"/>
    <w:tmpl w:val="993E7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890D71"/>
    <w:multiLevelType w:val="multilevel"/>
    <w:tmpl w:val="D4FA2B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0A"/>
    <w:rsid w:val="000C25C7"/>
    <w:rsid w:val="00B0741A"/>
    <w:rsid w:val="00B27546"/>
    <w:rsid w:val="00D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71D7F"/>
  <w15:docId w15:val="{C2E97923-9635-4426-9280-781A349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3A40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0808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3596D"/>
      <w:w w:val="7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23" w:lineRule="auto"/>
      <w:ind w:left="49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E3A40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Times New Roman" w:eastAsia="Times New Roman" w:hAnsi="Times New Roman" w:cs="Times New Roman"/>
      <w:color w:val="FE0808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F3596D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g2So6b5WvkMwIf3DnlwcIo4ZUg==">CgMxLjA4AHIhMTEwamFZbExmMHM5ODl4eE1YS2kxUzBmek04ZFRhX3NP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2024-03-05T03:29:00Z</dcterms:created>
  <dcterms:modified xsi:type="dcterms:W3CDTF">2024-03-05T03:29:00Z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28c15a66d6107886e77c8fa9bf7f28a7dc3b0c87e53d1f57caf07e884f5c0aa0</vt:lpwstr>
  </property>
</Properties>
</file>