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12C3A10D" w:rsidR="000116F4" w:rsidRPr="00F31273" w:rsidRDefault="00F574D3" w:rsidP="00F574D3">
      <w:pPr>
        <w:pBdr>
          <w:top w:val="nil"/>
          <w:left w:val="nil"/>
          <w:bottom w:val="nil"/>
          <w:right w:val="nil"/>
          <w:between w:val="nil"/>
        </w:pBdr>
        <w:tabs>
          <w:tab w:val="left" w:pos="540"/>
        </w:tabs>
        <w:spacing w:after="120" w:line="360" w:lineRule="auto"/>
        <w:rPr>
          <w:rFonts w:ascii="Arial" w:eastAsia="Arial" w:hAnsi="Arial" w:cs="Arial"/>
          <w:b/>
          <w:color w:val="010000"/>
          <w:sz w:val="20"/>
          <w:szCs w:val="20"/>
        </w:rPr>
      </w:pPr>
      <w:proofErr w:type="spellStart"/>
      <w:r w:rsidRPr="00F31273">
        <w:rPr>
          <w:rFonts w:ascii="Arial" w:hAnsi="Arial" w:cs="Arial"/>
          <w:b/>
          <w:bCs/>
          <w:color w:val="010000"/>
          <w:sz w:val="20"/>
        </w:rPr>
        <w:t>DP2</w:t>
      </w:r>
      <w:proofErr w:type="spellEnd"/>
      <w:r w:rsidRPr="00F31273">
        <w:rPr>
          <w:rFonts w:ascii="Arial" w:hAnsi="Arial" w:cs="Arial"/>
          <w:b/>
          <w:bCs/>
          <w:color w:val="010000"/>
          <w:sz w:val="20"/>
        </w:rPr>
        <w:t>:</w:t>
      </w:r>
      <w:r w:rsidRPr="00F31273">
        <w:rPr>
          <w:rFonts w:ascii="Arial" w:hAnsi="Arial" w:cs="Arial"/>
          <w:b/>
          <w:color w:val="010000"/>
          <w:sz w:val="20"/>
        </w:rPr>
        <w:t xml:space="preserve"> Board Resolution</w:t>
      </w:r>
    </w:p>
    <w:p w14:paraId="00000002" w14:textId="77777777" w:rsidR="000116F4" w:rsidRPr="00F31273" w:rsidRDefault="00F574D3" w:rsidP="00F574D3">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F31273">
        <w:rPr>
          <w:rFonts w:ascii="Arial" w:hAnsi="Arial" w:cs="Arial"/>
          <w:color w:val="010000"/>
          <w:sz w:val="20"/>
        </w:rPr>
        <w:t xml:space="preserve">On February 28, 2024, Central Pharmaceutical Joint Stock Company </w:t>
      </w:r>
      <w:proofErr w:type="spellStart"/>
      <w:r w:rsidRPr="00F31273">
        <w:rPr>
          <w:rFonts w:ascii="Arial" w:hAnsi="Arial" w:cs="Arial"/>
          <w:color w:val="010000"/>
          <w:sz w:val="20"/>
        </w:rPr>
        <w:t>No2</w:t>
      </w:r>
      <w:proofErr w:type="spellEnd"/>
      <w:r w:rsidRPr="00F31273">
        <w:rPr>
          <w:rFonts w:ascii="Arial" w:hAnsi="Arial" w:cs="Arial"/>
          <w:color w:val="010000"/>
          <w:sz w:val="20"/>
        </w:rPr>
        <w:t xml:space="preserve"> announced Resolution No. 01/</w:t>
      </w:r>
      <w:proofErr w:type="spellStart"/>
      <w:r w:rsidRPr="00F31273">
        <w:rPr>
          <w:rFonts w:ascii="Arial" w:hAnsi="Arial" w:cs="Arial"/>
          <w:color w:val="010000"/>
          <w:sz w:val="20"/>
        </w:rPr>
        <w:t>DPTU2</w:t>
      </w:r>
      <w:proofErr w:type="spellEnd"/>
      <w:r w:rsidRPr="00F31273">
        <w:rPr>
          <w:rFonts w:ascii="Arial" w:hAnsi="Arial" w:cs="Arial"/>
          <w:color w:val="010000"/>
          <w:sz w:val="20"/>
        </w:rPr>
        <w:t>/NQ-</w:t>
      </w:r>
      <w:proofErr w:type="spellStart"/>
      <w:r w:rsidRPr="00F31273">
        <w:rPr>
          <w:rFonts w:ascii="Arial" w:hAnsi="Arial" w:cs="Arial"/>
          <w:color w:val="010000"/>
          <w:sz w:val="20"/>
        </w:rPr>
        <w:t>HDQT</w:t>
      </w:r>
      <w:proofErr w:type="spellEnd"/>
      <w:r w:rsidRPr="00F31273">
        <w:rPr>
          <w:rFonts w:ascii="Arial" w:hAnsi="Arial" w:cs="Arial"/>
          <w:color w:val="010000"/>
          <w:sz w:val="20"/>
        </w:rPr>
        <w:t xml:space="preserve"> as follows:</w:t>
      </w:r>
    </w:p>
    <w:p w14:paraId="00000003" w14:textId="77777777" w:rsidR="000116F4" w:rsidRPr="00F31273" w:rsidRDefault="00F574D3" w:rsidP="00F574D3">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F31273">
        <w:rPr>
          <w:rFonts w:ascii="Arial" w:hAnsi="Arial" w:cs="Arial"/>
          <w:color w:val="010000"/>
          <w:sz w:val="20"/>
        </w:rPr>
        <w:t>Article 1: Approve the organization of the Annual General Meeting of Shareholders 2024 as follows:</w:t>
      </w:r>
    </w:p>
    <w:p w14:paraId="00000004" w14:textId="30F8D02A" w:rsidR="000116F4" w:rsidRPr="00F31273" w:rsidRDefault="00F574D3" w:rsidP="00F574D3">
      <w:pPr>
        <w:numPr>
          <w:ilvl w:val="0"/>
          <w:numId w:val="1"/>
        </w:numPr>
        <w:pBdr>
          <w:top w:val="nil"/>
          <w:left w:val="nil"/>
          <w:bottom w:val="nil"/>
          <w:right w:val="nil"/>
          <w:between w:val="nil"/>
        </w:pBdr>
        <w:tabs>
          <w:tab w:val="left" w:pos="540"/>
          <w:tab w:val="left" w:pos="1301"/>
        </w:tabs>
        <w:spacing w:after="120" w:line="360" w:lineRule="auto"/>
        <w:rPr>
          <w:rFonts w:ascii="Arial" w:eastAsia="Arial" w:hAnsi="Arial" w:cs="Arial"/>
          <w:color w:val="010000"/>
          <w:sz w:val="20"/>
          <w:szCs w:val="20"/>
        </w:rPr>
      </w:pPr>
      <w:r w:rsidRPr="00F31273">
        <w:rPr>
          <w:rFonts w:ascii="Arial" w:hAnsi="Arial" w:cs="Arial"/>
          <w:color w:val="010000"/>
          <w:sz w:val="20"/>
        </w:rPr>
        <w:t>Date of the Meeting: April 2</w:t>
      </w:r>
      <w:r w:rsidR="00DA1F4B">
        <w:rPr>
          <w:rFonts w:ascii="Arial" w:hAnsi="Arial" w:cs="Arial"/>
          <w:color w:val="010000"/>
          <w:sz w:val="20"/>
        </w:rPr>
        <w:t>4</w:t>
      </w:r>
      <w:bookmarkStart w:id="0" w:name="_GoBack"/>
      <w:bookmarkEnd w:id="0"/>
      <w:r w:rsidRPr="00F31273">
        <w:rPr>
          <w:rFonts w:ascii="Arial" w:hAnsi="Arial" w:cs="Arial"/>
          <w:color w:val="010000"/>
          <w:sz w:val="20"/>
        </w:rPr>
        <w:t>, 2024 (expected).</w:t>
      </w:r>
    </w:p>
    <w:p w14:paraId="00000005" w14:textId="77777777" w:rsidR="000116F4" w:rsidRPr="00F31273" w:rsidRDefault="00F574D3" w:rsidP="00F574D3">
      <w:pPr>
        <w:numPr>
          <w:ilvl w:val="0"/>
          <w:numId w:val="1"/>
        </w:numPr>
        <w:pBdr>
          <w:top w:val="nil"/>
          <w:left w:val="nil"/>
          <w:bottom w:val="nil"/>
          <w:right w:val="nil"/>
          <w:between w:val="nil"/>
        </w:pBdr>
        <w:tabs>
          <w:tab w:val="left" w:pos="540"/>
          <w:tab w:val="left" w:pos="987"/>
        </w:tabs>
        <w:spacing w:after="120" w:line="360" w:lineRule="auto"/>
        <w:rPr>
          <w:rFonts w:ascii="Arial" w:eastAsia="Arial" w:hAnsi="Arial" w:cs="Arial"/>
          <w:color w:val="010000"/>
          <w:sz w:val="20"/>
          <w:szCs w:val="20"/>
        </w:rPr>
      </w:pPr>
      <w:r w:rsidRPr="00F31273">
        <w:rPr>
          <w:rFonts w:ascii="Arial" w:hAnsi="Arial" w:cs="Arial"/>
          <w:color w:val="010000"/>
          <w:sz w:val="20"/>
        </w:rPr>
        <w:t xml:space="preserve">Venue: Pharmaceutical Factory - Central Pharmaceutical Joint Stock Company </w:t>
      </w:r>
      <w:proofErr w:type="spellStart"/>
      <w:r w:rsidRPr="00F31273">
        <w:rPr>
          <w:rFonts w:ascii="Arial" w:hAnsi="Arial" w:cs="Arial"/>
          <w:color w:val="010000"/>
          <w:sz w:val="20"/>
        </w:rPr>
        <w:t>No2</w:t>
      </w:r>
      <w:proofErr w:type="spellEnd"/>
      <w:r w:rsidRPr="00F31273">
        <w:rPr>
          <w:rFonts w:ascii="Arial" w:hAnsi="Arial" w:cs="Arial"/>
          <w:color w:val="010000"/>
          <w:sz w:val="20"/>
        </w:rPr>
        <w:t xml:space="preserve">; Lot </w:t>
      </w:r>
      <w:proofErr w:type="spellStart"/>
      <w:r w:rsidRPr="00F31273">
        <w:rPr>
          <w:rFonts w:ascii="Arial" w:hAnsi="Arial" w:cs="Arial"/>
          <w:color w:val="010000"/>
          <w:sz w:val="20"/>
        </w:rPr>
        <w:t>27a</w:t>
      </w:r>
      <w:proofErr w:type="spellEnd"/>
      <w:r w:rsidRPr="00F31273">
        <w:rPr>
          <w:rFonts w:ascii="Arial" w:hAnsi="Arial" w:cs="Arial"/>
          <w:color w:val="010000"/>
          <w:sz w:val="20"/>
        </w:rPr>
        <w:t xml:space="preserve"> </w:t>
      </w:r>
      <w:proofErr w:type="spellStart"/>
      <w:r w:rsidRPr="00F31273">
        <w:rPr>
          <w:rFonts w:ascii="Arial" w:hAnsi="Arial" w:cs="Arial"/>
          <w:color w:val="010000"/>
          <w:sz w:val="20"/>
        </w:rPr>
        <w:t>Quang</w:t>
      </w:r>
      <w:proofErr w:type="spellEnd"/>
      <w:r w:rsidRPr="00F31273">
        <w:rPr>
          <w:rFonts w:ascii="Arial" w:hAnsi="Arial" w:cs="Arial"/>
          <w:color w:val="010000"/>
          <w:sz w:val="20"/>
        </w:rPr>
        <w:t xml:space="preserve"> Minh Industrial Park, Me Linh Town, Me Linh District, Hanoi City.</w:t>
      </w:r>
    </w:p>
    <w:p w14:paraId="00000006" w14:textId="77777777" w:rsidR="000116F4" w:rsidRPr="00F31273" w:rsidRDefault="00F574D3" w:rsidP="00F574D3">
      <w:pPr>
        <w:numPr>
          <w:ilvl w:val="0"/>
          <w:numId w:val="1"/>
        </w:numPr>
        <w:pBdr>
          <w:top w:val="nil"/>
          <w:left w:val="nil"/>
          <w:bottom w:val="nil"/>
          <w:right w:val="nil"/>
          <w:between w:val="nil"/>
        </w:pBdr>
        <w:tabs>
          <w:tab w:val="left" w:pos="540"/>
          <w:tab w:val="left" w:pos="1301"/>
        </w:tabs>
        <w:spacing w:after="120" w:line="360" w:lineRule="auto"/>
        <w:rPr>
          <w:rFonts w:ascii="Arial" w:eastAsia="Arial" w:hAnsi="Arial" w:cs="Arial"/>
          <w:color w:val="010000"/>
          <w:sz w:val="20"/>
          <w:szCs w:val="20"/>
        </w:rPr>
      </w:pPr>
      <w:r w:rsidRPr="00F31273">
        <w:rPr>
          <w:rFonts w:ascii="Arial" w:hAnsi="Arial" w:cs="Arial"/>
          <w:color w:val="010000"/>
          <w:sz w:val="20"/>
        </w:rPr>
        <w:t>Meeting contents: Approve the contents under the authority of the General Meeting of Shareholders.</w:t>
      </w:r>
    </w:p>
    <w:p w14:paraId="00000007" w14:textId="41D5B1D3" w:rsidR="000116F4" w:rsidRPr="00F31273" w:rsidRDefault="00F574D3" w:rsidP="00F574D3">
      <w:pPr>
        <w:numPr>
          <w:ilvl w:val="0"/>
          <w:numId w:val="1"/>
        </w:numPr>
        <w:pBdr>
          <w:top w:val="nil"/>
          <w:left w:val="nil"/>
          <w:bottom w:val="nil"/>
          <w:right w:val="nil"/>
          <w:between w:val="nil"/>
        </w:pBdr>
        <w:tabs>
          <w:tab w:val="left" w:pos="540"/>
          <w:tab w:val="left" w:pos="992"/>
        </w:tabs>
        <w:spacing w:after="120" w:line="360" w:lineRule="auto"/>
        <w:rPr>
          <w:rFonts w:ascii="Arial" w:eastAsia="Arial" w:hAnsi="Arial" w:cs="Arial"/>
          <w:color w:val="010000"/>
          <w:sz w:val="20"/>
          <w:szCs w:val="20"/>
        </w:rPr>
      </w:pPr>
      <w:r w:rsidRPr="00F31273">
        <w:rPr>
          <w:rFonts w:ascii="Arial" w:hAnsi="Arial" w:cs="Arial"/>
          <w:color w:val="010000"/>
          <w:sz w:val="20"/>
        </w:rPr>
        <w:t xml:space="preserve">Participants: Shareholders owning shares of Central Pharmaceutical Joint Stock Company </w:t>
      </w:r>
      <w:proofErr w:type="spellStart"/>
      <w:r w:rsidRPr="00F31273">
        <w:rPr>
          <w:rFonts w:ascii="Arial" w:hAnsi="Arial" w:cs="Arial"/>
          <w:color w:val="010000"/>
          <w:sz w:val="20"/>
        </w:rPr>
        <w:t>No2</w:t>
      </w:r>
      <w:proofErr w:type="spellEnd"/>
      <w:r w:rsidRPr="00F31273">
        <w:rPr>
          <w:rFonts w:ascii="Arial" w:hAnsi="Arial" w:cs="Arial"/>
          <w:color w:val="010000"/>
          <w:sz w:val="20"/>
        </w:rPr>
        <w:t xml:space="preserve"> on the record date or duly represented or authorized </w:t>
      </w:r>
      <w:r w:rsidR="00F31273" w:rsidRPr="00F31273">
        <w:rPr>
          <w:rFonts w:ascii="Arial" w:hAnsi="Arial" w:cs="Arial"/>
          <w:color w:val="010000"/>
          <w:sz w:val="20"/>
        </w:rPr>
        <w:t>person</w:t>
      </w:r>
      <w:r w:rsidRPr="00F31273">
        <w:rPr>
          <w:rFonts w:ascii="Arial" w:hAnsi="Arial" w:cs="Arial"/>
          <w:color w:val="010000"/>
          <w:sz w:val="20"/>
        </w:rPr>
        <w:t>.</w:t>
      </w:r>
    </w:p>
    <w:p w14:paraId="00000008" w14:textId="595A0F9E" w:rsidR="000116F4" w:rsidRPr="00F31273" w:rsidRDefault="00F574D3" w:rsidP="00F574D3">
      <w:pPr>
        <w:numPr>
          <w:ilvl w:val="0"/>
          <w:numId w:val="1"/>
        </w:numPr>
        <w:pBdr>
          <w:top w:val="nil"/>
          <w:left w:val="nil"/>
          <w:bottom w:val="nil"/>
          <w:right w:val="nil"/>
          <w:between w:val="nil"/>
        </w:pBdr>
        <w:tabs>
          <w:tab w:val="left" w:pos="540"/>
          <w:tab w:val="left" w:pos="987"/>
        </w:tabs>
        <w:spacing w:after="120" w:line="360" w:lineRule="auto"/>
        <w:rPr>
          <w:rFonts w:ascii="Arial" w:eastAsia="Arial" w:hAnsi="Arial" w:cs="Arial"/>
          <w:color w:val="010000"/>
          <w:sz w:val="20"/>
          <w:szCs w:val="20"/>
        </w:rPr>
      </w:pPr>
      <w:r w:rsidRPr="00F31273">
        <w:rPr>
          <w:rFonts w:ascii="Arial" w:hAnsi="Arial" w:cs="Arial"/>
          <w:color w:val="010000"/>
          <w:sz w:val="20"/>
        </w:rPr>
        <w:t xml:space="preserve">The Board of Directors </w:t>
      </w:r>
      <w:r w:rsidR="00F31273" w:rsidRPr="00F31273">
        <w:rPr>
          <w:rFonts w:ascii="Arial" w:hAnsi="Arial" w:cs="Arial"/>
          <w:color w:val="010000"/>
          <w:sz w:val="20"/>
        </w:rPr>
        <w:t xml:space="preserve">agrees on </w:t>
      </w:r>
      <w:proofErr w:type="spellStart"/>
      <w:r w:rsidR="00F31273" w:rsidRPr="00F31273">
        <w:rPr>
          <w:rFonts w:ascii="Arial" w:hAnsi="Arial" w:cs="Arial"/>
          <w:color w:val="010000"/>
          <w:sz w:val="20"/>
        </w:rPr>
        <w:t>assignsing</w:t>
      </w:r>
      <w:proofErr w:type="spellEnd"/>
      <w:r w:rsidR="00F31273" w:rsidRPr="00F31273">
        <w:rPr>
          <w:rFonts w:ascii="Arial" w:hAnsi="Arial" w:cs="Arial"/>
          <w:color w:val="010000"/>
          <w:sz w:val="20"/>
        </w:rPr>
        <w:t xml:space="preserve"> </w:t>
      </w:r>
      <w:r w:rsidRPr="00F31273">
        <w:rPr>
          <w:rFonts w:ascii="Arial" w:hAnsi="Arial" w:cs="Arial"/>
          <w:color w:val="010000"/>
          <w:sz w:val="20"/>
        </w:rPr>
        <w:t>the Chair of the Board of Directors to establish the Organizing Committee for the Meeting, direct the Executive Board and other departments of the Company to implement tasks related to the organization of the Annual General Meeting of Shareholders 2024 of the Company as prescribed by the law and the Company's Charter.</w:t>
      </w:r>
    </w:p>
    <w:p w14:paraId="00000009" w14:textId="5E96F204" w:rsidR="000116F4" w:rsidRPr="00F31273" w:rsidRDefault="00F574D3" w:rsidP="00F574D3">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F31273">
        <w:rPr>
          <w:rFonts w:ascii="Arial" w:hAnsi="Arial" w:cs="Arial"/>
          <w:color w:val="010000"/>
          <w:sz w:val="20"/>
        </w:rPr>
        <w:t>Article 2:</w:t>
      </w:r>
      <w:r w:rsidR="00F31273" w:rsidRPr="00F31273">
        <w:rPr>
          <w:rFonts w:ascii="Arial" w:hAnsi="Arial" w:cs="Arial"/>
          <w:color w:val="010000"/>
          <w:sz w:val="20"/>
        </w:rPr>
        <w:t xml:space="preserve"> Approve</w:t>
      </w:r>
      <w:r w:rsidRPr="00F31273">
        <w:rPr>
          <w:rFonts w:ascii="Arial" w:hAnsi="Arial" w:cs="Arial"/>
          <w:color w:val="010000"/>
          <w:sz w:val="20"/>
        </w:rPr>
        <w:t xml:space="preserve"> record</w:t>
      </w:r>
      <w:r w:rsidR="00F31273" w:rsidRPr="00F31273">
        <w:rPr>
          <w:rFonts w:ascii="Arial" w:hAnsi="Arial" w:cs="Arial"/>
          <w:color w:val="010000"/>
          <w:sz w:val="20"/>
        </w:rPr>
        <w:t>ing</w:t>
      </w:r>
      <w:r w:rsidRPr="00F31273">
        <w:rPr>
          <w:rFonts w:ascii="Arial" w:hAnsi="Arial" w:cs="Arial"/>
          <w:color w:val="010000"/>
          <w:sz w:val="20"/>
        </w:rPr>
        <w:t xml:space="preserve"> the list of shareholders to exercise the rights to attend the Annual General Meeting of Shareholders 2024 as follows:</w:t>
      </w:r>
    </w:p>
    <w:p w14:paraId="0000000A" w14:textId="77777777" w:rsidR="000116F4" w:rsidRPr="00F31273" w:rsidRDefault="00F574D3" w:rsidP="00F574D3">
      <w:pPr>
        <w:numPr>
          <w:ilvl w:val="0"/>
          <w:numId w:val="1"/>
        </w:numPr>
        <w:pBdr>
          <w:top w:val="nil"/>
          <w:left w:val="nil"/>
          <w:bottom w:val="nil"/>
          <w:right w:val="nil"/>
          <w:between w:val="nil"/>
        </w:pBdr>
        <w:tabs>
          <w:tab w:val="left" w:pos="540"/>
          <w:tab w:val="left" w:pos="1301"/>
        </w:tabs>
        <w:spacing w:after="120" w:line="360" w:lineRule="auto"/>
        <w:rPr>
          <w:rFonts w:ascii="Arial" w:eastAsia="Arial" w:hAnsi="Arial" w:cs="Arial"/>
          <w:color w:val="010000"/>
          <w:sz w:val="20"/>
          <w:szCs w:val="20"/>
        </w:rPr>
      </w:pPr>
      <w:r w:rsidRPr="00F31273">
        <w:rPr>
          <w:rFonts w:ascii="Arial" w:hAnsi="Arial" w:cs="Arial"/>
          <w:color w:val="010000"/>
          <w:sz w:val="20"/>
        </w:rPr>
        <w:t>Rate: 01 share - 01 voting rights</w:t>
      </w:r>
    </w:p>
    <w:p w14:paraId="0000000B" w14:textId="77777777" w:rsidR="000116F4" w:rsidRPr="00F31273" w:rsidRDefault="00F574D3" w:rsidP="00F574D3">
      <w:pPr>
        <w:numPr>
          <w:ilvl w:val="0"/>
          <w:numId w:val="1"/>
        </w:numPr>
        <w:pBdr>
          <w:top w:val="nil"/>
          <w:left w:val="nil"/>
          <w:bottom w:val="nil"/>
          <w:right w:val="nil"/>
          <w:between w:val="nil"/>
        </w:pBdr>
        <w:tabs>
          <w:tab w:val="left" w:pos="540"/>
          <w:tab w:val="left" w:pos="1301"/>
        </w:tabs>
        <w:spacing w:after="120" w:line="360" w:lineRule="auto"/>
        <w:rPr>
          <w:rFonts w:ascii="Arial" w:eastAsia="Arial" w:hAnsi="Arial" w:cs="Arial"/>
          <w:color w:val="010000"/>
          <w:sz w:val="20"/>
          <w:szCs w:val="20"/>
        </w:rPr>
      </w:pPr>
      <w:r w:rsidRPr="00F31273">
        <w:rPr>
          <w:rFonts w:ascii="Arial" w:hAnsi="Arial" w:cs="Arial"/>
          <w:color w:val="010000"/>
          <w:sz w:val="20"/>
        </w:rPr>
        <w:t>Record date of the list of shareholders: March 22, 2024</w:t>
      </w:r>
    </w:p>
    <w:p w14:paraId="0000000C" w14:textId="6C9B3BD0" w:rsidR="000116F4" w:rsidRPr="00F31273" w:rsidRDefault="00F31273" w:rsidP="00F574D3">
      <w:pPr>
        <w:numPr>
          <w:ilvl w:val="0"/>
          <w:numId w:val="1"/>
        </w:numPr>
        <w:pBdr>
          <w:top w:val="nil"/>
          <w:left w:val="nil"/>
          <w:bottom w:val="nil"/>
          <w:right w:val="nil"/>
          <w:between w:val="nil"/>
        </w:pBdr>
        <w:tabs>
          <w:tab w:val="left" w:pos="540"/>
          <w:tab w:val="left" w:pos="992"/>
        </w:tabs>
        <w:spacing w:after="120" w:line="360" w:lineRule="auto"/>
        <w:rPr>
          <w:rFonts w:ascii="Arial" w:eastAsia="Arial" w:hAnsi="Arial" w:cs="Arial"/>
          <w:color w:val="010000"/>
          <w:sz w:val="20"/>
          <w:szCs w:val="20"/>
        </w:rPr>
      </w:pPr>
      <w:r w:rsidRPr="00F31273">
        <w:rPr>
          <w:rFonts w:ascii="Arial" w:hAnsi="Arial" w:cs="Arial"/>
          <w:color w:val="010000"/>
          <w:sz w:val="20"/>
        </w:rPr>
        <w:t>The Board of Directors agrees</w:t>
      </w:r>
      <w:r w:rsidR="00F574D3" w:rsidRPr="00F31273">
        <w:rPr>
          <w:rFonts w:ascii="Arial" w:hAnsi="Arial" w:cs="Arial"/>
          <w:color w:val="010000"/>
          <w:sz w:val="20"/>
        </w:rPr>
        <w:t xml:space="preserve"> </w:t>
      </w:r>
      <w:r w:rsidRPr="00F31273">
        <w:rPr>
          <w:rFonts w:ascii="Arial" w:hAnsi="Arial" w:cs="Arial"/>
          <w:color w:val="010000"/>
          <w:sz w:val="20"/>
        </w:rPr>
        <w:t>on authorizing</w:t>
      </w:r>
      <w:r w:rsidR="00F574D3" w:rsidRPr="00F31273">
        <w:rPr>
          <w:rFonts w:ascii="Arial" w:hAnsi="Arial" w:cs="Arial"/>
          <w:color w:val="010000"/>
          <w:sz w:val="20"/>
        </w:rPr>
        <w:t xml:space="preserve"> the Chair of the Board of Directors to direct the implementation of notifying Vietnam Securities Depository (</w:t>
      </w:r>
      <w:proofErr w:type="spellStart"/>
      <w:r w:rsidR="00F574D3" w:rsidRPr="00F31273">
        <w:rPr>
          <w:rFonts w:ascii="Arial" w:hAnsi="Arial" w:cs="Arial"/>
          <w:color w:val="010000"/>
          <w:sz w:val="20"/>
        </w:rPr>
        <w:t>VSD</w:t>
      </w:r>
      <w:proofErr w:type="spellEnd"/>
      <w:r w:rsidR="00F574D3" w:rsidRPr="00F31273">
        <w:rPr>
          <w:rFonts w:ascii="Arial" w:hAnsi="Arial" w:cs="Arial"/>
          <w:color w:val="010000"/>
          <w:sz w:val="20"/>
        </w:rPr>
        <w:t xml:space="preserve">) to record the list of shareholders to </w:t>
      </w:r>
      <w:proofErr w:type="gramStart"/>
      <w:r w:rsidR="00F574D3" w:rsidRPr="00F31273">
        <w:rPr>
          <w:rFonts w:ascii="Arial" w:hAnsi="Arial" w:cs="Arial"/>
          <w:color w:val="010000"/>
          <w:sz w:val="20"/>
        </w:rPr>
        <w:t>organize</w:t>
      </w:r>
      <w:proofErr w:type="gramEnd"/>
      <w:r w:rsidR="00F574D3" w:rsidRPr="00F31273">
        <w:rPr>
          <w:rFonts w:ascii="Arial" w:hAnsi="Arial" w:cs="Arial"/>
          <w:color w:val="010000"/>
          <w:sz w:val="20"/>
        </w:rPr>
        <w:t xml:space="preserve"> the Annual General Meeting of Shareholders 2024 in accordance with current regulations.</w:t>
      </w:r>
    </w:p>
    <w:p w14:paraId="0000000D" w14:textId="77777777" w:rsidR="000116F4" w:rsidRPr="00F31273" w:rsidRDefault="00F574D3" w:rsidP="00F574D3">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F31273">
        <w:rPr>
          <w:rFonts w:ascii="Arial" w:hAnsi="Arial" w:cs="Arial"/>
          <w:color w:val="010000"/>
          <w:sz w:val="20"/>
        </w:rPr>
        <w:t>Article 3: This Resolution takes effect from the date of its signing.</w:t>
      </w:r>
    </w:p>
    <w:p w14:paraId="0000000E" w14:textId="77777777" w:rsidR="000116F4" w:rsidRPr="00F31273" w:rsidRDefault="00F574D3" w:rsidP="00F574D3">
      <w:pPr>
        <w:pBdr>
          <w:top w:val="nil"/>
          <w:left w:val="nil"/>
          <w:bottom w:val="nil"/>
          <w:right w:val="nil"/>
          <w:between w:val="nil"/>
        </w:pBdr>
        <w:tabs>
          <w:tab w:val="left" w:pos="540"/>
        </w:tabs>
        <w:spacing w:after="120" w:line="360" w:lineRule="auto"/>
        <w:rPr>
          <w:rFonts w:ascii="Arial" w:eastAsia="Arial" w:hAnsi="Arial" w:cs="Arial"/>
          <w:color w:val="010000"/>
          <w:sz w:val="20"/>
          <w:szCs w:val="20"/>
        </w:rPr>
      </w:pPr>
      <w:r w:rsidRPr="00F31273">
        <w:rPr>
          <w:rFonts w:ascii="Arial" w:hAnsi="Arial" w:cs="Arial"/>
          <w:color w:val="010000"/>
          <w:sz w:val="20"/>
        </w:rPr>
        <w:t>Article 4: The Board of Directors, the Board of Management, and relevant departments are responsible for implementing this Resolution.</w:t>
      </w:r>
    </w:p>
    <w:sectPr w:rsidR="000116F4" w:rsidRPr="00F31273" w:rsidSect="00F574D3">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3514"/>
    <w:multiLevelType w:val="multilevel"/>
    <w:tmpl w:val="E952A504"/>
    <w:lvl w:ilvl="0">
      <w:start w:val="1"/>
      <w:numFmt w:val="bullet"/>
      <w:lvlText w:val="-"/>
      <w:lvlJc w:val="left"/>
      <w:pPr>
        <w:ind w:left="0" w:firstLine="0"/>
      </w:pPr>
      <w:rPr>
        <w:rFonts w:ascii="Arial" w:eastAsia="Arial" w:hAnsi="Arial" w:cs="Arial"/>
        <w:b w:val="0"/>
        <w:i w:val="0"/>
        <w:smallCaps w:val="0"/>
        <w:strike w:val="0"/>
        <w:color w:val="1F1E25"/>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F4"/>
    <w:rsid w:val="000116F4"/>
    <w:rsid w:val="00DA1F4B"/>
    <w:rsid w:val="00F31273"/>
    <w:rsid w:val="00F574D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39694"/>
  <w15:docId w15:val="{FB928D0C-0B7E-43D9-A807-20074212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color w:val="1F1E25"/>
      <w:sz w:val="22"/>
      <w:szCs w:val="22"/>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8"/>
      <w:szCs w:val="18"/>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8"/>
      <w:szCs w:val="8"/>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1F1E25"/>
      <w:sz w:val="26"/>
      <w:szCs w:val="26"/>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color w:val="1F1E25"/>
      <w:sz w:val="32"/>
      <w:szCs w:val="32"/>
      <w:u w:val="none"/>
    </w:rPr>
  </w:style>
  <w:style w:type="character" w:customStyle="1" w:styleId="Bodytext5">
    <w:name w:val="Body text (5)_"/>
    <w:basedOn w:val="DefaultParagraphFont"/>
    <w:link w:val="Bodytext50"/>
    <w:rPr>
      <w:rFonts w:ascii="Tahoma" w:eastAsia="Tahoma" w:hAnsi="Tahoma" w:cs="Tahoma"/>
      <w:b w:val="0"/>
      <w:bCs w:val="0"/>
      <w:i w:val="0"/>
      <w:iCs w:val="0"/>
      <w:smallCaps w:val="0"/>
      <w:strike w:val="0"/>
      <w:color w:val="E23D5F"/>
      <w:sz w:val="17"/>
      <w:szCs w:val="17"/>
      <w:u w:val="none"/>
    </w:rPr>
  </w:style>
  <w:style w:type="character" w:customStyle="1" w:styleId="Heading20">
    <w:name w:val="Heading #2_"/>
    <w:basedOn w:val="DefaultParagraphFont"/>
    <w:link w:val="Heading21"/>
    <w:rPr>
      <w:rFonts w:ascii="Times New Roman" w:eastAsia="Times New Roman" w:hAnsi="Times New Roman" w:cs="Times New Roman"/>
      <w:b w:val="0"/>
      <w:bCs w:val="0"/>
      <w:i w:val="0"/>
      <w:iCs w:val="0"/>
      <w:smallCaps/>
      <w:strike w:val="0"/>
      <w:color w:val="E23D5F"/>
      <w:sz w:val="28"/>
      <w:szCs w:val="28"/>
      <w:u w:val="none"/>
    </w:rPr>
  </w:style>
  <w:style w:type="paragraph" w:customStyle="1" w:styleId="Bodytext20">
    <w:name w:val="Body text (2)"/>
    <w:basedOn w:val="Normal"/>
    <w:link w:val="Bodytext2"/>
    <w:pPr>
      <w:spacing w:line="262" w:lineRule="auto"/>
    </w:pPr>
    <w:rPr>
      <w:rFonts w:ascii="Times New Roman" w:eastAsia="Times New Roman" w:hAnsi="Times New Roman" w:cs="Times New Roman"/>
      <w:i/>
      <w:iCs/>
      <w:color w:val="1F1E25"/>
      <w:sz w:val="22"/>
      <w:szCs w:val="22"/>
    </w:rPr>
  </w:style>
  <w:style w:type="paragraph" w:customStyle="1" w:styleId="Bodytext40">
    <w:name w:val="Body text (4)"/>
    <w:basedOn w:val="Normal"/>
    <w:link w:val="Bodytext4"/>
    <w:rPr>
      <w:rFonts w:ascii="Arial" w:eastAsia="Arial" w:hAnsi="Arial" w:cs="Arial"/>
      <w:sz w:val="18"/>
      <w:szCs w:val="18"/>
    </w:rPr>
  </w:style>
  <w:style w:type="paragraph" w:customStyle="1" w:styleId="Bodytext30">
    <w:name w:val="Body text (3)"/>
    <w:basedOn w:val="Normal"/>
    <w:link w:val="Bodytext3"/>
    <w:pPr>
      <w:spacing w:line="202" w:lineRule="auto"/>
    </w:pPr>
    <w:rPr>
      <w:rFonts w:ascii="Arial" w:eastAsia="Arial" w:hAnsi="Arial" w:cs="Arial"/>
      <w:sz w:val="8"/>
      <w:szCs w:val="8"/>
    </w:rPr>
  </w:style>
  <w:style w:type="paragraph" w:styleId="BodyText">
    <w:name w:val="Body Text"/>
    <w:basedOn w:val="Normal"/>
    <w:link w:val="BodyTextChar"/>
    <w:qFormat/>
    <w:rPr>
      <w:rFonts w:ascii="Times New Roman" w:eastAsia="Times New Roman" w:hAnsi="Times New Roman" w:cs="Times New Roman"/>
      <w:color w:val="1F1E25"/>
      <w:sz w:val="26"/>
      <w:szCs w:val="26"/>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color w:val="1F1E25"/>
      <w:sz w:val="32"/>
      <w:szCs w:val="32"/>
    </w:rPr>
  </w:style>
  <w:style w:type="paragraph" w:customStyle="1" w:styleId="Bodytext50">
    <w:name w:val="Body text (5)"/>
    <w:basedOn w:val="Normal"/>
    <w:link w:val="Bodytext5"/>
    <w:pPr>
      <w:jc w:val="center"/>
    </w:pPr>
    <w:rPr>
      <w:rFonts w:ascii="Tahoma" w:eastAsia="Tahoma" w:hAnsi="Tahoma" w:cs="Tahoma"/>
      <w:color w:val="E23D5F"/>
      <w:sz w:val="17"/>
      <w:szCs w:val="17"/>
    </w:rPr>
  </w:style>
  <w:style w:type="paragraph" w:customStyle="1" w:styleId="Heading21">
    <w:name w:val="Heading #2"/>
    <w:basedOn w:val="Normal"/>
    <w:link w:val="Heading20"/>
    <w:pPr>
      <w:spacing w:line="190" w:lineRule="auto"/>
      <w:ind w:left="4140"/>
      <w:outlineLvl w:val="1"/>
    </w:pPr>
    <w:rPr>
      <w:rFonts w:ascii="Times New Roman" w:eastAsia="Times New Roman" w:hAnsi="Times New Roman" w:cs="Times New Roman"/>
      <w:smallCaps/>
      <w:color w:val="E23D5F"/>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lz5TgZD/77ne8qZ4aKLWv/EDMA==">CgMxLjA4AHIhMTRfSVB2c3BBaFJWSUI1UDl4RHVWbE9LeDNQRWZ2RlhN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2024-03-05T06:51:00Z</dcterms:created>
  <dcterms:modified xsi:type="dcterms:W3CDTF">2024-03-05T06:51:00Z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4dde4763277f396395ea4cf6755613c56e8f60877c0e00e59c33c39ac477a75e</vt:lpwstr>
  </property>
</Properties>
</file>