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4790C" w14:textId="5D784D53"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AD3324">
        <w:rPr>
          <w:rFonts w:ascii="Arial" w:hAnsi="Arial" w:cs="Arial"/>
          <w:b/>
          <w:bCs/>
          <w:color w:val="010000"/>
          <w:sz w:val="20"/>
          <w:szCs w:val="20"/>
        </w:rPr>
        <w:t>L14:</w:t>
      </w:r>
      <w:r w:rsidRPr="00AD3324">
        <w:rPr>
          <w:rFonts w:ascii="Arial" w:hAnsi="Arial" w:cs="Arial"/>
          <w:b/>
          <w:color w:val="010000"/>
          <w:sz w:val="20"/>
          <w:szCs w:val="20"/>
        </w:rPr>
        <w:t xml:space="preserve"> Board Resolution</w:t>
      </w:r>
    </w:p>
    <w:p w14:paraId="1C8480C0"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xml:space="preserve">On March 1, 2024, </w:t>
      </w:r>
      <w:proofErr w:type="spellStart"/>
      <w:r w:rsidRPr="00AD3324">
        <w:rPr>
          <w:rFonts w:ascii="Arial" w:hAnsi="Arial" w:cs="Arial"/>
          <w:color w:val="010000"/>
          <w:sz w:val="20"/>
          <w:szCs w:val="20"/>
        </w:rPr>
        <w:t>Licogi</w:t>
      </w:r>
      <w:proofErr w:type="spellEnd"/>
      <w:r w:rsidRPr="00AD3324">
        <w:rPr>
          <w:rFonts w:ascii="Arial" w:hAnsi="Arial" w:cs="Arial"/>
          <w:color w:val="010000"/>
          <w:sz w:val="20"/>
          <w:szCs w:val="20"/>
        </w:rPr>
        <w:t xml:space="preserve"> 14 JSC announced Resolution No. 04/NQ-HDQT as follows:</w:t>
      </w:r>
    </w:p>
    <w:p w14:paraId="224C12DA"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‎‎Article 1. Approve the entire content of the Board Meeting Minutes No. 03/BB-HDQT dated March 1, 2024.</w:t>
      </w:r>
    </w:p>
    <w:p w14:paraId="5B7C0B83" w14:textId="77777777" w:rsidR="009A6491" w:rsidRPr="00AD3324" w:rsidRDefault="0080716A" w:rsidP="00AD3324">
      <w:pPr>
        <w:keepNext/>
        <w:numPr>
          <w:ilvl w:val="0"/>
          <w:numId w:val="2"/>
        </w:numPr>
        <w:pBdr>
          <w:top w:val="nil"/>
          <w:left w:val="nil"/>
          <w:bottom w:val="nil"/>
          <w:right w:val="nil"/>
          <w:between w:val="nil"/>
        </w:pBdr>
        <w:tabs>
          <w:tab w:val="left" w:pos="284"/>
          <w:tab w:val="left" w:pos="1967"/>
        </w:tabs>
        <w:spacing w:after="120" w:line="360" w:lineRule="auto"/>
        <w:jc w:val="both"/>
        <w:rPr>
          <w:rFonts w:ascii="Arial" w:eastAsia="Arial" w:hAnsi="Arial" w:cs="Arial"/>
          <w:b/>
          <w:color w:val="010000"/>
          <w:sz w:val="20"/>
          <w:szCs w:val="20"/>
        </w:rPr>
      </w:pPr>
      <w:r w:rsidRPr="00AD3324">
        <w:rPr>
          <w:rFonts w:ascii="Arial" w:hAnsi="Arial" w:cs="Arial"/>
          <w:b/>
          <w:color w:val="010000"/>
          <w:sz w:val="20"/>
          <w:szCs w:val="20"/>
        </w:rPr>
        <w:t>Approve the assessment of production and business results in 2023.</w:t>
      </w:r>
    </w:p>
    <w:p w14:paraId="671F8F14" w14:textId="44D98612"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xml:space="preserve">Estimate the production and business results and some key targets estimated to be achieved in the </w:t>
      </w:r>
      <w:r w:rsidR="00961E16" w:rsidRPr="00AD3324">
        <w:rPr>
          <w:rFonts w:ascii="Arial" w:hAnsi="Arial" w:cs="Arial"/>
          <w:color w:val="010000"/>
          <w:sz w:val="20"/>
          <w:szCs w:val="20"/>
        </w:rPr>
        <w:t xml:space="preserve">Combined </w:t>
      </w:r>
      <w:r w:rsidR="00EB2289" w:rsidRPr="00AD3324">
        <w:rPr>
          <w:rFonts w:ascii="Arial" w:hAnsi="Arial" w:cs="Arial"/>
          <w:color w:val="010000"/>
          <w:sz w:val="20"/>
          <w:szCs w:val="20"/>
        </w:rPr>
        <w:t>Financial Statements</w:t>
      </w:r>
      <w:r w:rsidRPr="00AD3324">
        <w:rPr>
          <w:rFonts w:ascii="Arial" w:hAnsi="Arial" w:cs="Arial"/>
          <w:color w:val="010000"/>
          <w:sz w:val="20"/>
          <w:szCs w:val="20"/>
        </w:rPr>
        <w:t xml:space="preserve"> 2023 before </w:t>
      </w:r>
      <w:r w:rsidR="00AD3324">
        <w:rPr>
          <w:rFonts w:ascii="Arial" w:hAnsi="Arial" w:cs="Arial"/>
          <w:color w:val="010000"/>
          <w:sz w:val="20"/>
          <w:szCs w:val="20"/>
        </w:rPr>
        <w:t xml:space="preserve">the </w:t>
      </w:r>
      <w:r w:rsidRPr="00AD3324">
        <w:rPr>
          <w:rFonts w:ascii="Arial" w:hAnsi="Arial" w:cs="Arial"/>
          <w:color w:val="010000"/>
          <w:sz w:val="20"/>
          <w:szCs w:val="20"/>
        </w:rPr>
        <w:t>audit:</w:t>
      </w:r>
    </w:p>
    <w:p w14:paraId="40C0D53F" w14:textId="77777777" w:rsidR="009A6491" w:rsidRPr="00AD3324" w:rsidRDefault="0080716A" w:rsidP="00AD3324">
      <w:pPr>
        <w:numPr>
          <w:ilvl w:val="0"/>
          <w:numId w:val="1"/>
        </w:numPr>
        <w:pBdr>
          <w:top w:val="nil"/>
          <w:left w:val="nil"/>
          <w:bottom w:val="nil"/>
          <w:right w:val="nil"/>
          <w:between w:val="nil"/>
        </w:pBdr>
        <w:tabs>
          <w:tab w:val="left" w:pos="284"/>
          <w:tab w:val="left" w:pos="2205"/>
          <w:tab w:val="left" w:pos="5282"/>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Total revenue: VND 166.392 billion</w:t>
      </w:r>
    </w:p>
    <w:p w14:paraId="40C1A9B4" w14:textId="77777777" w:rsidR="009A6491" w:rsidRPr="00AD3324" w:rsidRDefault="0080716A" w:rsidP="00AD3324">
      <w:pPr>
        <w:numPr>
          <w:ilvl w:val="0"/>
          <w:numId w:val="1"/>
        </w:numPr>
        <w:pBdr>
          <w:top w:val="nil"/>
          <w:left w:val="nil"/>
          <w:bottom w:val="nil"/>
          <w:right w:val="nil"/>
          <w:between w:val="nil"/>
        </w:pBdr>
        <w:tabs>
          <w:tab w:val="left" w:pos="284"/>
          <w:tab w:val="left" w:pos="2205"/>
          <w:tab w:val="left" w:pos="5282"/>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Profit after tax: VND 24.2 billion</w:t>
      </w:r>
    </w:p>
    <w:p w14:paraId="609833BB" w14:textId="77777777" w:rsidR="009A6491" w:rsidRPr="00AD3324" w:rsidRDefault="0080716A" w:rsidP="00AD3324">
      <w:pPr>
        <w:numPr>
          <w:ilvl w:val="0"/>
          <w:numId w:val="1"/>
        </w:numPr>
        <w:pBdr>
          <w:top w:val="nil"/>
          <w:left w:val="nil"/>
          <w:bottom w:val="nil"/>
          <w:right w:val="nil"/>
          <w:between w:val="nil"/>
        </w:pBdr>
        <w:tabs>
          <w:tab w:val="left" w:pos="284"/>
          <w:tab w:val="left" w:pos="2205"/>
          <w:tab w:val="left" w:pos="5282"/>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Payable to the State budget: VND 8.5 billion</w:t>
      </w:r>
    </w:p>
    <w:p w14:paraId="4A0588DD" w14:textId="28759019"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xml:space="preserve">The </w:t>
      </w:r>
      <w:r w:rsidR="00EB2289" w:rsidRPr="00AD3324">
        <w:rPr>
          <w:rFonts w:ascii="Arial" w:hAnsi="Arial" w:cs="Arial"/>
          <w:color w:val="010000"/>
          <w:sz w:val="20"/>
          <w:szCs w:val="20"/>
        </w:rPr>
        <w:t>Financial Statements</w:t>
      </w:r>
      <w:r w:rsidRPr="00AD3324">
        <w:rPr>
          <w:rFonts w:ascii="Arial" w:hAnsi="Arial" w:cs="Arial"/>
          <w:color w:val="010000"/>
          <w:sz w:val="20"/>
          <w:szCs w:val="20"/>
        </w:rPr>
        <w:t xml:space="preserve"> 2023 are being implemented by an independent audit company which is </w:t>
      </w:r>
      <w:proofErr w:type="gramStart"/>
      <w:r w:rsidRPr="00AD3324">
        <w:rPr>
          <w:rFonts w:ascii="Arial" w:hAnsi="Arial" w:cs="Arial"/>
          <w:color w:val="010000"/>
          <w:sz w:val="20"/>
          <w:szCs w:val="20"/>
        </w:rPr>
        <w:t>An</w:t>
      </w:r>
      <w:proofErr w:type="gramEnd"/>
      <w:r w:rsidRPr="00AD3324">
        <w:rPr>
          <w:rFonts w:ascii="Arial" w:hAnsi="Arial" w:cs="Arial"/>
          <w:color w:val="010000"/>
          <w:sz w:val="20"/>
          <w:szCs w:val="20"/>
        </w:rPr>
        <w:t xml:space="preserve"> Viet Auditing Company Limited, the audit result is expected to be available in mid-March 2024.</w:t>
      </w:r>
    </w:p>
    <w:p w14:paraId="516070C2" w14:textId="77777777" w:rsidR="009A6491" w:rsidRPr="00AD3324" w:rsidRDefault="0080716A" w:rsidP="00AD3324">
      <w:pPr>
        <w:keepNext/>
        <w:numPr>
          <w:ilvl w:val="0"/>
          <w:numId w:val="2"/>
        </w:numPr>
        <w:pBdr>
          <w:top w:val="nil"/>
          <w:left w:val="nil"/>
          <w:bottom w:val="nil"/>
          <w:right w:val="nil"/>
          <w:between w:val="nil"/>
        </w:pBdr>
        <w:tabs>
          <w:tab w:val="left" w:pos="284"/>
          <w:tab w:val="left" w:pos="1982"/>
        </w:tabs>
        <w:spacing w:after="120" w:line="360" w:lineRule="auto"/>
        <w:jc w:val="both"/>
        <w:rPr>
          <w:rFonts w:ascii="Arial" w:eastAsia="Arial" w:hAnsi="Arial" w:cs="Arial"/>
          <w:b/>
          <w:color w:val="010000"/>
          <w:sz w:val="20"/>
          <w:szCs w:val="20"/>
        </w:rPr>
      </w:pPr>
      <w:r w:rsidRPr="00AD3324">
        <w:rPr>
          <w:rFonts w:ascii="Arial" w:hAnsi="Arial" w:cs="Arial"/>
          <w:b/>
          <w:color w:val="010000"/>
          <w:sz w:val="20"/>
          <w:szCs w:val="20"/>
        </w:rPr>
        <w:t>Directions and tasks for production and business in 2024:</w:t>
      </w:r>
    </w:p>
    <w:p w14:paraId="7BD2A095" w14:textId="60807E8E"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xml:space="preserve">In December 2023, the Company </w:t>
      </w:r>
      <w:r w:rsidR="00EB2289" w:rsidRPr="00AD3324">
        <w:rPr>
          <w:rFonts w:ascii="Arial" w:hAnsi="Arial" w:cs="Arial"/>
          <w:color w:val="010000"/>
          <w:sz w:val="20"/>
          <w:szCs w:val="20"/>
        </w:rPr>
        <w:t xml:space="preserve">won the bid for </w:t>
      </w:r>
      <w:r w:rsidRPr="00AD3324">
        <w:rPr>
          <w:rFonts w:ascii="Arial" w:hAnsi="Arial" w:cs="Arial"/>
          <w:color w:val="010000"/>
          <w:sz w:val="20"/>
          <w:szCs w:val="20"/>
        </w:rPr>
        <w:t xml:space="preserve">02 projects: </w:t>
      </w:r>
      <w:r w:rsidR="00AD3324">
        <w:rPr>
          <w:rFonts w:ascii="Arial" w:hAnsi="Arial" w:cs="Arial"/>
          <w:color w:val="010000"/>
          <w:sz w:val="20"/>
          <w:szCs w:val="20"/>
        </w:rPr>
        <w:t xml:space="preserve">the </w:t>
      </w:r>
      <w:proofErr w:type="spellStart"/>
      <w:r w:rsidRPr="00AD3324">
        <w:rPr>
          <w:rFonts w:ascii="Arial" w:hAnsi="Arial" w:cs="Arial"/>
          <w:color w:val="010000"/>
          <w:sz w:val="20"/>
          <w:szCs w:val="20"/>
        </w:rPr>
        <w:t>Tuyen</w:t>
      </w:r>
      <w:proofErr w:type="spellEnd"/>
      <w:r w:rsidRPr="00AD3324">
        <w:rPr>
          <w:rFonts w:ascii="Arial" w:hAnsi="Arial" w:cs="Arial"/>
          <w:color w:val="010000"/>
          <w:sz w:val="20"/>
          <w:szCs w:val="20"/>
        </w:rPr>
        <w:t xml:space="preserve"> </w:t>
      </w:r>
      <w:proofErr w:type="spellStart"/>
      <w:r w:rsidRPr="00AD3324">
        <w:rPr>
          <w:rFonts w:ascii="Arial" w:hAnsi="Arial" w:cs="Arial"/>
          <w:color w:val="010000"/>
          <w:sz w:val="20"/>
          <w:szCs w:val="20"/>
        </w:rPr>
        <w:t>Quang</w:t>
      </w:r>
      <w:proofErr w:type="spellEnd"/>
      <w:r w:rsidRPr="00AD3324">
        <w:rPr>
          <w:rFonts w:ascii="Arial" w:hAnsi="Arial" w:cs="Arial"/>
          <w:color w:val="010000"/>
          <w:sz w:val="20"/>
          <w:szCs w:val="20"/>
        </w:rPr>
        <w:t xml:space="preserve"> - Ha Giang </w:t>
      </w:r>
      <w:r w:rsidR="00EB2289" w:rsidRPr="00AD3324">
        <w:rPr>
          <w:rFonts w:ascii="Arial" w:hAnsi="Arial" w:cs="Arial"/>
          <w:color w:val="010000"/>
          <w:sz w:val="20"/>
          <w:szCs w:val="20"/>
        </w:rPr>
        <w:t>Expressway Project</w:t>
      </w:r>
      <w:r w:rsidRPr="00AD3324">
        <w:rPr>
          <w:rFonts w:ascii="Arial" w:hAnsi="Arial" w:cs="Arial"/>
          <w:color w:val="010000"/>
          <w:sz w:val="20"/>
          <w:szCs w:val="20"/>
        </w:rPr>
        <w:t xml:space="preserve"> (VND 122 billion); </w:t>
      </w:r>
      <w:r w:rsidR="00AD3324">
        <w:rPr>
          <w:rFonts w:ascii="Arial" w:hAnsi="Arial" w:cs="Arial"/>
          <w:color w:val="010000"/>
          <w:sz w:val="20"/>
          <w:szCs w:val="20"/>
        </w:rPr>
        <w:t xml:space="preserve">the </w:t>
      </w:r>
      <w:r w:rsidRPr="00AD3324">
        <w:rPr>
          <w:rFonts w:ascii="Arial" w:hAnsi="Arial" w:cs="Arial"/>
          <w:color w:val="010000"/>
          <w:sz w:val="20"/>
          <w:szCs w:val="20"/>
        </w:rPr>
        <w:t xml:space="preserve">Road project connecting Mu </w:t>
      </w:r>
      <w:proofErr w:type="spellStart"/>
      <w:r w:rsidRPr="00AD3324">
        <w:rPr>
          <w:rFonts w:ascii="Arial" w:hAnsi="Arial" w:cs="Arial"/>
          <w:color w:val="010000"/>
          <w:sz w:val="20"/>
          <w:szCs w:val="20"/>
        </w:rPr>
        <w:t>Cang</w:t>
      </w:r>
      <w:proofErr w:type="spellEnd"/>
      <w:r w:rsidRPr="00AD3324">
        <w:rPr>
          <w:rFonts w:ascii="Arial" w:hAnsi="Arial" w:cs="Arial"/>
          <w:color w:val="010000"/>
          <w:sz w:val="20"/>
          <w:szCs w:val="20"/>
        </w:rPr>
        <w:t xml:space="preserve"> Chai (Yen </w:t>
      </w:r>
      <w:proofErr w:type="spellStart"/>
      <w:r w:rsidRPr="00AD3324">
        <w:rPr>
          <w:rFonts w:ascii="Arial" w:hAnsi="Arial" w:cs="Arial"/>
          <w:color w:val="010000"/>
          <w:sz w:val="20"/>
          <w:szCs w:val="20"/>
        </w:rPr>
        <w:t>Bai</w:t>
      </w:r>
      <w:proofErr w:type="spellEnd"/>
      <w:r w:rsidRPr="00AD3324">
        <w:rPr>
          <w:rFonts w:ascii="Arial" w:hAnsi="Arial" w:cs="Arial"/>
          <w:color w:val="010000"/>
          <w:sz w:val="20"/>
          <w:szCs w:val="20"/>
        </w:rPr>
        <w:t xml:space="preserve">) with </w:t>
      </w:r>
      <w:proofErr w:type="spellStart"/>
      <w:r w:rsidRPr="00AD3324">
        <w:rPr>
          <w:rFonts w:ascii="Arial" w:hAnsi="Arial" w:cs="Arial"/>
          <w:color w:val="010000"/>
          <w:sz w:val="20"/>
          <w:szCs w:val="20"/>
        </w:rPr>
        <w:t>Noi</w:t>
      </w:r>
      <w:proofErr w:type="spellEnd"/>
      <w:r w:rsidRPr="00AD3324">
        <w:rPr>
          <w:rFonts w:ascii="Arial" w:hAnsi="Arial" w:cs="Arial"/>
          <w:color w:val="010000"/>
          <w:sz w:val="20"/>
          <w:szCs w:val="20"/>
        </w:rPr>
        <w:t xml:space="preserve"> </w:t>
      </w:r>
      <w:proofErr w:type="spellStart"/>
      <w:r w:rsidRPr="00AD3324">
        <w:rPr>
          <w:rFonts w:ascii="Arial" w:hAnsi="Arial" w:cs="Arial"/>
          <w:color w:val="010000"/>
          <w:sz w:val="20"/>
          <w:szCs w:val="20"/>
        </w:rPr>
        <w:t>Bai</w:t>
      </w:r>
      <w:proofErr w:type="spellEnd"/>
      <w:r w:rsidRPr="00AD3324">
        <w:rPr>
          <w:rFonts w:ascii="Arial" w:hAnsi="Arial" w:cs="Arial"/>
          <w:color w:val="010000"/>
          <w:sz w:val="20"/>
          <w:szCs w:val="20"/>
        </w:rPr>
        <w:t xml:space="preserve"> - Lao </w:t>
      </w:r>
      <w:proofErr w:type="spellStart"/>
      <w:r w:rsidRPr="00AD3324">
        <w:rPr>
          <w:rFonts w:ascii="Arial" w:hAnsi="Arial" w:cs="Arial"/>
          <w:color w:val="010000"/>
          <w:sz w:val="20"/>
          <w:szCs w:val="20"/>
        </w:rPr>
        <w:t>Cai</w:t>
      </w:r>
      <w:proofErr w:type="spellEnd"/>
      <w:r w:rsidRPr="00AD3324">
        <w:rPr>
          <w:rFonts w:ascii="Arial" w:hAnsi="Arial" w:cs="Arial"/>
          <w:color w:val="010000"/>
          <w:sz w:val="20"/>
          <w:szCs w:val="20"/>
        </w:rPr>
        <w:t xml:space="preserve"> highway (VND 43 billion). These projects will begin construction in 2024.</w:t>
      </w:r>
    </w:p>
    <w:p w14:paraId="5A6779BA" w14:textId="39D2D666"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xml:space="preserve">The company will continue to bid for </w:t>
      </w:r>
      <w:r w:rsidR="00EB2289" w:rsidRPr="00AD3324">
        <w:rPr>
          <w:rFonts w:ascii="Arial" w:hAnsi="Arial" w:cs="Arial"/>
          <w:color w:val="010000"/>
          <w:sz w:val="20"/>
          <w:szCs w:val="20"/>
        </w:rPr>
        <w:t>works</w:t>
      </w:r>
      <w:r w:rsidRPr="00AD3324">
        <w:rPr>
          <w:rFonts w:ascii="Arial" w:hAnsi="Arial" w:cs="Arial"/>
          <w:color w:val="010000"/>
          <w:sz w:val="20"/>
          <w:szCs w:val="20"/>
        </w:rPr>
        <w:t xml:space="preserve"> in Yen </w:t>
      </w:r>
      <w:proofErr w:type="spellStart"/>
      <w:r w:rsidRPr="00AD3324">
        <w:rPr>
          <w:rFonts w:ascii="Arial" w:hAnsi="Arial" w:cs="Arial"/>
          <w:color w:val="010000"/>
          <w:sz w:val="20"/>
          <w:szCs w:val="20"/>
        </w:rPr>
        <w:t>Bai</w:t>
      </w:r>
      <w:proofErr w:type="spellEnd"/>
      <w:r w:rsidRPr="00AD3324">
        <w:rPr>
          <w:rFonts w:ascii="Arial" w:hAnsi="Arial" w:cs="Arial"/>
          <w:color w:val="010000"/>
          <w:sz w:val="20"/>
          <w:szCs w:val="20"/>
        </w:rPr>
        <w:t xml:space="preserve">, </w:t>
      </w:r>
      <w:proofErr w:type="spellStart"/>
      <w:r w:rsidRPr="00AD3324">
        <w:rPr>
          <w:rFonts w:ascii="Arial" w:hAnsi="Arial" w:cs="Arial"/>
          <w:color w:val="010000"/>
          <w:sz w:val="20"/>
          <w:szCs w:val="20"/>
        </w:rPr>
        <w:t>Tuyen</w:t>
      </w:r>
      <w:proofErr w:type="spellEnd"/>
      <w:r w:rsidRPr="00AD3324">
        <w:rPr>
          <w:rFonts w:ascii="Arial" w:hAnsi="Arial" w:cs="Arial"/>
          <w:color w:val="010000"/>
          <w:sz w:val="20"/>
          <w:szCs w:val="20"/>
        </w:rPr>
        <w:t xml:space="preserve"> </w:t>
      </w:r>
      <w:proofErr w:type="spellStart"/>
      <w:r w:rsidRPr="00AD3324">
        <w:rPr>
          <w:rFonts w:ascii="Arial" w:hAnsi="Arial" w:cs="Arial"/>
          <w:color w:val="010000"/>
          <w:sz w:val="20"/>
          <w:szCs w:val="20"/>
        </w:rPr>
        <w:t>Quang</w:t>
      </w:r>
      <w:proofErr w:type="spellEnd"/>
      <w:r w:rsidRPr="00AD3324">
        <w:rPr>
          <w:rFonts w:ascii="Arial" w:hAnsi="Arial" w:cs="Arial"/>
          <w:color w:val="010000"/>
          <w:sz w:val="20"/>
          <w:szCs w:val="20"/>
        </w:rPr>
        <w:t xml:space="preserve">, </w:t>
      </w:r>
      <w:proofErr w:type="spellStart"/>
      <w:proofErr w:type="gramStart"/>
      <w:r w:rsidRPr="00AD3324">
        <w:rPr>
          <w:rFonts w:ascii="Arial" w:hAnsi="Arial" w:cs="Arial"/>
          <w:color w:val="010000"/>
          <w:sz w:val="20"/>
          <w:szCs w:val="20"/>
        </w:rPr>
        <w:t>Phu</w:t>
      </w:r>
      <w:proofErr w:type="spellEnd"/>
      <w:proofErr w:type="gramEnd"/>
      <w:r w:rsidRPr="00AD3324">
        <w:rPr>
          <w:rFonts w:ascii="Arial" w:hAnsi="Arial" w:cs="Arial"/>
          <w:color w:val="010000"/>
          <w:sz w:val="20"/>
          <w:szCs w:val="20"/>
        </w:rPr>
        <w:t xml:space="preserve"> </w:t>
      </w:r>
      <w:proofErr w:type="spellStart"/>
      <w:r w:rsidRPr="00AD3324">
        <w:rPr>
          <w:rFonts w:ascii="Arial" w:hAnsi="Arial" w:cs="Arial"/>
          <w:color w:val="010000"/>
          <w:sz w:val="20"/>
          <w:szCs w:val="20"/>
        </w:rPr>
        <w:t>Tho</w:t>
      </w:r>
      <w:proofErr w:type="spellEnd"/>
      <w:r w:rsidRPr="00AD3324">
        <w:rPr>
          <w:rFonts w:ascii="Arial" w:hAnsi="Arial" w:cs="Arial"/>
          <w:color w:val="010000"/>
          <w:sz w:val="20"/>
          <w:szCs w:val="20"/>
        </w:rPr>
        <w:t xml:space="preserve"> to increase revenue, depreciate equipment, and ensure employment for workers.</w:t>
      </w:r>
    </w:p>
    <w:p w14:paraId="4EB5A950"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Regarding investment in the Nam Minh Phuong Urban Area project, the Company has been drastically working with local authorities every day and week to advocate for compensation payments to receive the handover of the site for investment implementation. Other investment projects continue to be implemented according to the approved Annual General Mandate.</w:t>
      </w:r>
    </w:p>
    <w:p w14:paraId="2A2D4C9D"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Expected targets for production and business plan in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30"/>
        <w:gridCol w:w="1160"/>
        <w:gridCol w:w="2529"/>
      </w:tblGrid>
      <w:tr w:rsidR="009A6491" w:rsidRPr="00AD3324" w14:paraId="20D7C293" w14:textId="77777777" w:rsidTr="0080716A">
        <w:tc>
          <w:tcPr>
            <w:tcW w:w="2955" w:type="pct"/>
            <w:shd w:val="clear" w:color="auto" w:fill="auto"/>
            <w:tcMar>
              <w:top w:w="0" w:type="dxa"/>
              <w:bottom w:w="0" w:type="dxa"/>
            </w:tcMar>
            <w:vAlign w:val="center"/>
          </w:tcPr>
          <w:p w14:paraId="26E0E1C1"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Expected target</w:t>
            </w:r>
          </w:p>
        </w:tc>
        <w:tc>
          <w:tcPr>
            <w:tcW w:w="643" w:type="pct"/>
            <w:shd w:val="clear" w:color="auto" w:fill="auto"/>
            <w:tcMar>
              <w:top w:w="0" w:type="dxa"/>
              <w:bottom w:w="0" w:type="dxa"/>
            </w:tcMar>
            <w:vAlign w:val="center"/>
          </w:tcPr>
          <w:p w14:paraId="1C415DDE"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Unit</w:t>
            </w:r>
          </w:p>
        </w:tc>
        <w:tc>
          <w:tcPr>
            <w:tcW w:w="1402" w:type="pct"/>
            <w:shd w:val="clear" w:color="auto" w:fill="auto"/>
            <w:tcMar>
              <w:top w:w="0" w:type="dxa"/>
              <w:bottom w:w="0" w:type="dxa"/>
            </w:tcMar>
            <w:vAlign w:val="center"/>
          </w:tcPr>
          <w:p w14:paraId="12BABC55"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Expected plan in 2024</w:t>
            </w:r>
          </w:p>
        </w:tc>
      </w:tr>
      <w:tr w:rsidR="009A6491" w:rsidRPr="00AD3324" w14:paraId="244385B2" w14:textId="77777777" w:rsidTr="0080716A">
        <w:tc>
          <w:tcPr>
            <w:tcW w:w="2955" w:type="pct"/>
            <w:shd w:val="clear" w:color="auto" w:fill="auto"/>
            <w:tcMar>
              <w:top w:w="0" w:type="dxa"/>
              <w:bottom w:w="0" w:type="dxa"/>
            </w:tcMar>
            <w:vAlign w:val="center"/>
          </w:tcPr>
          <w:p w14:paraId="10505600"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Total revenue</w:t>
            </w:r>
          </w:p>
        </w:tc>
        <w:tc>
          <w:tcPr>
            <w:tcW w:w="643" w:type="pct"/>
            <w:shd w:val="clear" w:color="auto" w:fill="auto"/>
            <w:tcMar>
              <w:top w:w="0" w:type="dxa"/>
              <w:bottom w:w="0" w:type="dxa"/>
            </w:tcMar>
            <w:vAlign w:val="center"/>
          </w:tcPr>
          <w:p w14:paraId="74FFF43F" w14:textId="1AC4D91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Billion VND</w:t>
            </w:r>
          </w:p>
        </w:tc>
        <w:tc>
          <w:tcPr>
            <w:tcW w:w="1402" w:type="pct"/>
            <w:shd w:val="clear" w:color="auto" w:fill="auto"/>
            <w:tcMar>
              <w:top w:w="0" w:type="dxa"/>
              <w:bottom w:w="0" w:type="dxa"/>
            </w:tcMar>
            <w:vAlign w:val="center"/>
          </w:tcPr>
          <w:p w14:paraId="1A4A0236"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178</w:t>
            </w:r>
          </w:p>
        </w:tc>
      </w:tr>
      <w:tr w:rsidR="009A6491" w:rsidRPr="00AD3324" w14:paraId="0A075A3F" w14:textId="77777777" w:rsidTr="0080716A">
        <w:tc>
          <w:tcPr>
            <w:tcW w:w="2955" w:type="pct"/>
            <w:shd w:val="clear" w:color="auto" w:fill="auto"/>
            <w:tcMar>
              <w:top w:w="0" w:type="dxa"/>
              <w:bottom w:w="0" w:type="dxa"/>
            </w:tcMar>
            <w:vAlign w:val="center"/>
          </w:tcPr>
          <w:p w14:paraId="4D6CBA5B"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In which: - Revenue from real estate</w:t>
            </w:r>
          </w:p>
        </w:tc>
        <w:tc>
          <w:tcPr>
            <w:tcW w:w="643" w:type="pct"/>
            <w:shd w:val="clear" w:color="auto" w:fill="auto"/>
            <w:tcMar>
              <w:top w:w="0" w:type="dxa"/>
              <w:bottom w:w="0" w:type="dxa"/>
            </w:tcMar>
            <w:vAlign w:val="center"/>
          </w:tcPr>
          <w:p w14:paraId="5F3613D7" w14:textId="3C36B263"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Billion VND</w:t>
            </w:r>
          </w:p>
        </w:tc>
        <w:tc>
          <w:tcPr>
            <w:tcW w:w="1402" w:type="pct"/>
            <w:shd w:val="clear" w:color="auto" w:fill="auto"/>
            <w:tcMar>
              <w:top w:w="0" w:type="dxa"/>
              <w:bottom w:w="0" w:type="dxa"/>
            </w:tcMar>
            <w:vAlign w:val="center"/>
          </w:tcPr>
          <w:p w14:paraId="38A416B1"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20</w:t>
            </w:r>
          </w:p>
        </w:tc>
      </w:tr>
      <w:tr w:rsidR="009A6491" w:rsidRPr="00AD3324" w14:paraId="250CE6E7" w14:textId="77777777" w:rsidTr="0080716A">
        <w:tc>
          <w:tcPr>
            <w:tcW w:w="2955" w:type="pct"/>
            <w:shd w:val="clear" w:color="auto" w:fill="auto"/>
            <w:tcMar>
              <w:top w:w="0" w:type="dxa"/>
              <w:bottom w:w="0" w:type="dxa"/>
            </w:tcMar>
            <w:vAlign w:val="center"/>
          </w:tcPr>
          <w:p w14:paraId="571DE379"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Revenue from financial activities</w:t>
            </w:r>
          </w:p>
        </w:tc>
        <w:tc>
          <w:tcPr>
            <w:tcW w:w="643" w:type="pct"/>
            <w:shd w:val="clear" w:color="auto" w:fill="auto"/>
            <w:tcMar>
              <w:top w:w="0" w:type="dxa"/>
              <w:bottom w:w="0" w:type="dxa"/>
            </w:tcMar>
            <w:vAlign w:val="center"/>
          </w:tcPr>
          <w:p w14:paraId="30AC88D4" w14:textId="03E9A408"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Billion VND</w:t>
            </w:r>
          </w:p>
        </w:tc>
        <w:tc>
          <w:tcPr>
            <w:tcW w:w="1402" w:type="pct"/>
            <w:shd w:val="clear" w:color="auto" w:fill="auto"/>
            <w:tcMar>
              <w:top w:w="0" w:type="dxa"/>
              <w:bottom w:w="0" w:type="dxa"/>
            </w:tcMar>
            <w:vAlign w:val="center"/>
          </w:tcPr>
          <w:p w14:paraId="6609E7C2"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20</w:t>
            </w:r>
          </w:p>
        </w:tc>
      </w:tr>
      <w:tr w:rsidR="009A6491" w:rsidRPr="00AD3324" w14:paraId="17C38B74" w14:textId="77777777" w:rsidTr="0080716A">
        <w:tc>
          <w:tcPr>
            <w:tcW w:w="2955" w:type="pct"/>
            <w:shd w:val="clear" w:color="auto" w:fill="auto"/>
            <w:tcMar>
              <w:top w:w="0" w:type="dxa"/>
              <w:bottom w:w="0" w:type="dxa"/>
            </w:tcMar>
            <w:vAlign w:val="center"/>
          </w:tcPr>
          <w:p w14:paraId="7B02F532"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Revenue from construction and installation + others</w:t>
            </w:r>
          </w:p>
        </w:tc>
        <w:tc>
          <w:tcPr>
            <w:tcW w:w="643" w:type="pct"/>
            <w:shd w:val="clear" w:color="auto" w:fill="auto"/>
            <w:tcMar>
              <w:top w:w="0" w:type="dxa"/>
              <w:bottom w:w="0" w:type="dxa"/>
            </w:tcMar>
            <w:vAlign w:val="center"/>
          </w:tcPr>
          <w:p w14:paraId="3B8571BB" w14:textId="6DC5FCC5"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Billion VND</w:t>
            </w:r>
          </w:p>
        </w:tc>
        <w:tc>
          <w:tcPr>
            <w:tcW w:w="1402" w:type="pct"/>
            <w:shd w:val="clear" w:color="auto" w:fill="auto"/>
            <w:tcMar>
              <w:top w:w="0" w:type="dxa"/>
              <w:bottom w:w="0" w:type="dxa"/>
            </w:tcMar>
            <w:vAlign w:val="center"/>
          </w:tcPr>
          <w:p w14:paraId="0968E270"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138</w:t>
            </w:r>
          </w:p>
        </w:tc>
      </w:tr>
      <w:tr w:rsidR="009A6491" w:rsidRPr="00AD3324" w14:paraId="4ED47F38" w14:textId="77777777" w:rsidTr="0080716A">
        <w:tc>
          <w:tcPr>
            <w:tcW w:w="2955" w:type="pct"/>
            <w:shd w:val="clear" w:color="auto" w:fill="auto"/>
            <w:tcMar>
              <w:top w:w="0" w:type="dxa"/>
              <w:bottom w:w="0" w:type="dxa"/>
            </w:tcMar>
            <w:vAlign w:val="center"/>
          </w:tcPr>
          <w:p w14:paraId="43C98D6C"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Profit after tax</w:t>
            </w:r>
          </w:p>
        </w:tc>
        <w:tc>
          <w:tcPr>
            <w:tcW w:w="643" w:type="pct"/>
            <w:shd w:val="clear" w:color="auto" w:fill="auto"/>
            <w:tcMar>
              <w:top w:w="0" w:type="dxa"/>
              <w:bottom w:w="0" w:type="dxa"/>
            </w:tcMar>
            <w:vAlign w:val="center"/>
          </w:tcPr>
          <w:p w14:paraId="26434F7D" w14:textId="24CEB2DF"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Billion VND</w:t>
            </w:r>
          </w:p>
        </w:tc>
        <w:tc>
          <w:tcPr>
            <w:tcW w:w="1402" w:type="pct"/>
            <w:shd w:val="clear" w:color="auto" w:fill="auto"/>
            <w:tcMar>
              <w:top w:w="0" w:type="dxa"/>
              <w:bottom w:w="0" w:type="dxa"/>
            </w:tcMar>
            <w:vAlign w:val="center"/>
          </w:tcPr>
          <w:p w14:paraId="7F4D2D6C"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25</w:t>
            </w:r>
          </w:p>
        </w:tc>
      </w:tr>
      <w:tr w:rsidR="009A6491" w:rsidRPr="00AD3324" w14:paraId="157547C0" w14:textId="77777777" w:rsidTr="0080716A">
        <w:tc>
          <w:tcPr>
            <w:tcW w:w="2955" w:type="pct"/>
            <w:shd w:val="clear" w:color="auto" w:fill="auto"/>
            <w:tcMar>
              <w:top w:w="0" w:type="dxa"/>
              <w:bottom w:w="0" w:type="dxa"/>
            </w:tcMar>
            <w:vAlign w:val="center"/>
          </w:tcPr>
          <w:p w14:paraId="49217244"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Payable to the State budget</w:t>
            </w:r>
          </w:p>
        </w:tc>
        <w:tc>
          <w:tcPr>
            <w:tcW w:w="643" w:type="pct"/>
            <w:shd w:val="clear" w:color="auto" w:fill="auto"/>
            <w:tcMar>
              <w:top w:w="0" w:type="dxa"/>
              <w:bottom w:w="0" w:type="dxa"/>
            </w:tcMar>
            <w:vAlign w:val="center"/>
          </w:tcPr>
          <w:p w14:paraId="23297C43" w14:textId="25DF1D58"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Billion VND</w:t>
            </w:r>
          </w:p>
        </w:tc>
        <w:tc>
          <w:tcPr>
            <w:tcW w:w="1402" w:type="pct"/>
            <w:shd w:val="clear" w:color="auto" w:fill="auto"/>
            <w:tcMar>
              <w:top w:w="0" w:type="dxa"/>
              <w:bottom w:w="0" w:type="dxa"/>
            </w:tcMar>
            <w:vAlign w:val="center"/>
          </w:tcPr>
          <w:p w14:paraId="0990DCDA"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10</w:t>
            </w:r>
          </w:p>
        </w:tc>
      </w:tr>
      <w:tr w:rsidR="009A6491" w:rsidRPr="00AD3324" w14:paraId="1F20A9BB" w14:textId="77777777" w:rsidTr="0080716A">
        <w:tc>
          <w:tcPr>
            <w:tcW w:w="2955" w:type="pct"/>
            <w:shd w:val="clear" w:color="auto" w:fill="auto"/>
            <w:tcMar>
              <w:top w:w="0" w:type="dxa"/>
              <w:bottom w:w="0" w:type="dxa"/>
            </w:tcMar>
            <w:vAlign w:val="center"/>
          </w:tcPr>
          <w:p w14:paraId="4F4E5F33"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Average income</w:t>
            </w:r>
          </w:p>
        </w:tc>
        <w:tc>
          <w:tcPr>
            <w:tcW w:w="643" w:type="pct"/>
            <w:shd w:val="clear" w:color="auto" w:fill="auto"/>
            <w:tcMar>
              <w:top w:w="0" w:type="dxa"/>
              <w:bottom w:w="0" w:type="dxa"/>
            </w:tcMar>
            <w:vAlign w:val="center"/>
          </w:tcPr>
          <w:p w14:paraId="0CA70830" w14:textId="33585551"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Million VND</w:t>
            </w:r>
          </w:p>
        </w:tc>
        <w:tc>
          <w:tcPr>
            <w:tcW w:w="1402" w:type="pct"/>
            <w:shd w:val="clear" w:color="auto" w:fill="auto"/>
            <w:tcMar>
              <w:top w:w="0" w:type="dxa"/>
              <w:bottom w:w="0" w:type="dxa"/>
            </w:tcMar>
            <w:vAlign w:val="center"/>
          </w:tcPr>
          <w:p w14:paraId="7EF1D90C"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12</w:t>
            </w:r>
          </w:p>
        </w:tc>
      </w:tr>
      <w:tr w:rsidR="009A6491" w:rsidRPr="00AD3324" w14:paraId="7774D87A" w14:textId="77777777" w:rsidTr="0080716A">
        <w:tc>
          <w:tcPr>
            <w:tcW w:w="2955" w:type="pct"/>
            <w:shd w:val="clear" w:color="auto" w:fill="auto"/>
            <w:tcMar>
              <w:top w:w="0" w:type="dxa"/>
              <w:bottom w:w="0" w:type="dxa"/>
            </w:tcMar>
            <w:vAlign w:val="center"/>
          </w:tcPr>
          <w:p w14:paraId="431C34E3"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Dividend (expected)</w:t>
            </w:r>
          </w:p>
        </w:tc>
        <w:tc>
          <w:tcPr>
            <w:tcW w:w="643" w:type="pct"/>
            <w:shd w:val="clear" w:color="auto" w:fill="auto"/>
            <w:tcMar>
              <w:top w:w="0" w:type="dxa"/>
              <w:bottom w:w="0" w:type="dxa"/>
            </w:tcMar>
            <w:vAlign w:val="center"/>
          </w:tcPr>
          <w:p w14:paraId="2C25CD05"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w:t>
            </w:r>
          </w:p>
        </w:tc>
        <w:tc>
          <w:tcPr>
            <w:tcW w:w="1402" w:type="pct"/>
            <w:shd w:val="clear" w:color="auto" w:fill="auto"/>
            <w:tcMar>
              <w:top w:w="0" w:type="dxa"/>
              <w:bottom w:w="0" w:type="dxa"/>
            </w:tcMar>
            <w:vAlign w:val="center"/>
          </w:tcPr>
          <w:p w14:paraId="41370984" w14:textId="77777777" w:rsidR="009A6491" w:rsidRPr="00AD3324" w:rsidRDefault="0080716A" w:rsidP="00AD332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AD3324">
              <w:rPr>
                <w:rFonts w:ascii="Arial" w:hAnsi="Arial" w:cs="Arial"/>
                <w:color w:val="010000"/>
                <w:sz w:val="20"/>
                <w:szCs w:val="20"/>
              </w:rPr>
              <w:t>5</w:t>
            </w:r>
          </w:p>
        </w:tc>
      </w:tr>
    </w:tbl>
    <w:p w14:paraId="58A1C41E"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i/>
          <w:color w:val="010000"/>
          <w:sz w:val="20"/>
          <w:szCs w:val="20"/>
        </w:rPr>
      </w:pPr>
      <w:r w:rsidRPr="00AD3324">
        <w:rPr>
          <w:rFonts w:ascii="Arial" w:hAnsi="Arial" w:cs="Arial"/>
          <w:i/>
          <w:color w:val="010000"/>
          <w:sz w:val="20"/>
          <w:szCs w:val="20"/>
        </w:rPr>
        <w:lastRenderedPageBreak/>
        <w:t>*The entire content of detailed production and business directions and tasks for 2024 will be submitted at the Annual General Meeting of Shareholders 2024 for approval.</w:t>
      </w:r>
    </w:p>
    <w:p w14:paraId="50EDA038" w14:textId="77777777" w:rsidR="009A6491" w:rsidRPr="00AD3324" w:rsidRDefault="0080716A" w:rsidP="00AD3324">
      <w:pPr>
        <w:keepNext/>
        <w:numPr>
          <w:ilvl w:val="0"/>
          <w:numId w:val="2"/>
        </w:numPr>
        <w:pBdr>
          <w:top w:val="nil"/>
          <w:left w:val="nil"/>
          <w:bottom w:val="nil"/>
          <w:right w:val="nil"/>
          <w:between w:val="nil"/>
        </w:pBdr>
        <w:tabs>
          <w:tab w:val="left" w:pos="284"/>
          <w:tab w:val="left" w:pos="2644"/>
        </w:tabs>
        <w:spacing w:after="120" w:line="360" w:lineRule="auto"/>
        <w:jc w:val="both"/>
        <w:rPr>
          <w:rFonts w:ascii="Arial" w:eastAsia="Arial" w:hAnsi="Arial" w:cs="Arial"/>
          <w:b/>
          <w:color w:val="010000"/>
          <w:sz w:val="20"/>
          <w:szCs w:val="20"/>
        </w:rPr>
      </w:pPr>
      <w:r w:rsidRPr="00AD3324">
        <w:rPr>
          <w:rFonts w:ascii="Arial" w:hAnsi="Arial" w:cs="Arial"/>
          <w:b/>
          <w:color w:val="010000"/>
          <w:sz w:val="20"/>
          <w:szCs w:val="20"/>
        </w:rPr>
        <w:t xml:space="preserve">Approve the plan to organize the Annual General Meeting of Shareholders 2024 of </w:t>
      </w:r>
      <w:proofErr w:type="spellStart"/>
      <w:r w:rsidRPr="00AD3324">
        <w:rPr>
          <w:rFonts w:ascii="Arial" w:hAnsi="Arial" w:cs="Arial"/>
          <w:b/>
          <w:color w:val="010000"/>
          <w:sz w:val="20"/>
          <w:szCs w:val="20"/>
        </w:rPr>
        <w:t>Licogi</w:t>
      </w:r>
      <w:proofErr w:type="spellEnd"/>
      <w:r w:rsidRPr="00AD3324">
        <w:rPr>
          <w:rFonts w:ascii="Arial" w:hAnsi="Arial" w:cs="Arial"/>
          <w:b/>
          <w:color w:val="010000"/>
          <w:sz w:val="20"/>
          <w:szCs w:val="20"/>
        </w:rPr>
        <w:t xml:space="preserve"> 14 JSC</w:t>
      </w:r>
    </w:p>
    <w:p w14:paraId="47285EB5" w14:textId="43245B29" w:rsidR="009A6491" w:rsidRPr="00AD3324" w:rsidRDefault="00EB2289"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I</w:t>
      </w:r>
      <w:r w:rsidR="0080716A" w:rsidRPr="00AD3324">
        <w:rPr>
          <w:rFonts w:ascii="Arial" w:hAnsi="Arial" w:cs="Arial"/>
          <w:color w:val="010000"/>
          <w:sz w:val="20"/>
          <w:szCs w:val="20"/>
        </w:rPr>
        <w:t xml:space="preserve">mmediately after the audited </w:t>
      </w:r>
      <w:r w:rsidRPr="00AD3324">
        <w:rPr>
          <w:rFonts w:ascii="Arial" w:hAnsi="Arial" w:cs="Arial"/>
          <w:color w:val="010000"/>
          <w:sz w:val="20"/>
          <w:szCs w:val="20"/>
        </w:rPr>
        <w:t>Financial Statements</w:t>
      </w:r>
      <w:r w:rsidR="0080716A" w:rsidRPr="00AD3324">
        <w:rPr>
          <w:rFonts w:ascii="Arial" w:hAnsi="Arial" w:cs="Arial"/>
          <w:color w:val="010000"/>
          <w:sz w:val="20"/>
          <w:szCs w:val="20"/>
        </w:rPr>
        <w:t xml:space="preserve"> 2023 are available, expected around mid-March 2024</w:t>
      </w:r>
      <w:r w:rsidRPr="00AD3324">
        <w:rPr>
          <w:rFonts w:ascii="Arial" w:hAnsi="Arial" w:cs="Arial"/>
          <w:color w:val="010000"/>
          <w:sz w:val="20"/>
          <w:szCs w:val="20"/>
        </w:rPr>
        <w:t>,</w:t>
      </w:r>
      <w:r w:rsidR="0080716A" w:rsidRPr="00AD3324">
        <w:rPr>
          <w:rFonts w:ascii="Arial" w:hAnsi="Arial" w:cs="Arial"/>
          <w:color w:val="010000"/>
          <w:sz w:val="20"/>
          <w:szCs w:val="20"/>
        </w:rPr>
        <w:t xml:space="preserve"> </w:t>
      </w:r>
      <w:proofErr w:type="spellStart"/>
      <w:r w:rsidR="0080716A" w:rsidRPr="00AD3324">
        <w:rPr>
          <w:rFonts w:ascii="Arial" w:hAnsi="Arial" w:cs="Arial"/>
          <w:color w:val="010000"/>
          <w:sz w:val="20"/>
          <w:szCs w:val="20"/>
        </w:rPr>
        <w:t>Licogi</w:t>
      </w:r>
      <w:proofErr w:type="spellEnd"/>
      <w:r w:rsidR="0080716A" w:rsidRPr="00AD3324">
        <w:rPr>
          <w:rFonts w:ascii="Arial" w:hAnsi="Arial" w:cs="Arial"/>
          <w:color w:val="010000"/>
          <w:sz w:val="20"/>
          <w:szCs w:val="20"/>
        </w:rPr>
        <w:t xml:space="preserve"> 14 JSC will organize the Annual General Meeting of Shareholders 2024, the expected time of the meeting is on April 26, 2024.</w:t>
      </w:r>
    </w:p>
    <w:p w14:paraId="72C621D7" w14:textId="50FCDCDD"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Assign the supporting departments to take steps to record the list of shareholders, prepare dossiers and documents for the Meeting</w:t>
      </w:r>
      <w:r w:rsidR="00AD3324">
        <w:rPr>
          <w:rFonts w:ascii="Arial" w:hAnsi="Arial" w:cs="Arial"/>
          <w:color w:val="010000"/>
          <w:sz w:val="20"/>
          <w:szCs w:val="20"/>
        </w:rPr>
        <w:t>,</w:t>
      </w:r>
      <w:r w:rsidRPr="00AD3324">
        <w:rPr>
          <w:rFonts w:ascii="Arial" w:hAnsi="Arial" w:cs="Arial"/>
          <w:color w:val="010000"/>
          <w:sz w:val="20"/>
          <w:szCs w:val="20"/>
        </w:rPr>
        <w:t xml:space="preserve"> and send invitation letters to shareholders, State Securities Commission, Vietnam Securities Depository, and Hanoi Stock Exchange</w:t>
      </w:r>
      <w:r w:rsidR="00AD3324">
        <w:rPr>
          <w:rFonts w:ascii="Arial" w:hAnsi="Arial" w:cs="Arial"/>
          <w:color w:val="010000"/>
          <w:sz w:val="20"/>
          <w:szCs w:val="20"/>
        </w:rPr>
        <w:t>,</w:t>
      </w:r>
      <w:r w:rsidRPr="00AD3324">
        <w:rPr>
          <w:rFonts w:ascii="Arial" w:hAnsi="Arial" w:cs="Arial"/>
          <w:color w:val="010000"/>
          <w:sz w:val="20"/>
          <w:szCs w:val="20"/>
        </w:rPr>
        <w:t xml:space="preserve"> and ensure compliance with regulations.</w:t>
      </w:r>
    </w:p>
    <w:p w14:paraId="360D1803" w14:textId="77777777" w:rsidR="009A6491" w:rsidRPr="00AD3324" w:rsidRDefault="0080716A" w:rsidP="00AD3324">
      <w:pPr>
        <w:keepNext/>
        <w:numPr>
          <w:ilvl w:val="0"/>
          <w:numId w:val="2"/>
        </w:num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AD3324">
        <w:rPr>
          <w:rFonts w:ascii="Arial" w:hAnsi="Arial" w:cs="Arial"/>
          <w:b/>
          <w:color w:val="010000"/>
          <w:sz w:val="20"/>
          <w:szCs w:val="20"/>
        </w:rPr>
        <w:t xml:space="preserve">Approve the policy of signing and implementing contracts and transactions of </w:t>
      </w:r>
      <w:proofErr w:type="spellStart"/>
      <w:r w:rsidRPr="00AD3324">
        <w:rPr>
          <w:rFonts w:ascii="Arial" w:hAnsi="Arial" w:cs="Arial"/>
          <w:b/>
          <w:color w:val="010000"/>
          <w:sz w:val="20"/>
          <w:szCs w:val="20"/>
        </w:rPr>
        <w:t>Licogi</w:t>
      </w:r>
      <w:proofErr w:type="spellEnd"/>
      <w:r w:rsidRPr="00AD3324">
        <w:rPr>
          <w:rFonts w:ascii="Arial" w:hAnsi="Arial" w:cs="Arial"/>
          <w:b/>
          <w:color w:val="010000"/>
          <w:sz w:val="20"/>
          <w:szCs w:val="20"/>
        </w:rPr>
        <w:t xml:space="preserve"> 14 JSC with the following affiliated parties:</w:t>
      </w:r>
    </w:p>
    <w:p w14:paraId="2F5EFBF0" w14:textId="73B36896" w:rsidR="009A6491" w:rsidRPr="00AD3324" w:rsidRDefault="0080716A" w:rsidP="00AD3324">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D3324">
        <w:rPr>
          <w:rFonts w:ascii="Arial" w:hAnsi="Arial" w:cs="Arial"/>
          <w:color w:val="010000"/>
          <w:sz w:val="20"/>
          <w:szCs w:val="20"/>
        </w:rPr>
        <w:t>Subjects signing and implementing the contract: Subsidiaries, Affiliated Companies</w:t>
      </w:r>
      <w:r w:rsidR="00AD3324">
        <w:rPr>
          <w:rFonts w:ascii="Arial" w:hAnsi="Arial" w:cs="Arial"/>
          <w:color w:val="010000"/>
          <w:sz w:val="20"/>
          <w:szCs w:val="20"/>
        </w:rPr>
        <w:t>,</w:t>
      </w:r>
      <w:r w:rsidRPr="00AD3324">
        <w:rPr>
          <w:rFonts w:ascii="Arial" w:hAnsi="Arial" w:cs="Arial"/>
          <w:color w:val="010000"/>
          <w:sz w:val="20"/>
          <w:szCs w:val="20"/>
        </w:rPr>
        <w:t xml:space="preserve"> and other affiliated parties of the Company as prescribed in the Company's Charter and provisions in Clause 2, Article 167 of the Law on Enterprises 2020.</w:t>
      </w:r>
    </w:p>
    <w:p w14:paraId="69F3FFA6" w14:textId="1421E74E" w:rsidR="009A6491" w:rsidRPr="00AD3324" w:rsidRDefault="0080716A" w:rsidP="00AD3324">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D3324">
        <w:rPr>
          <w:rFonts w:ascii="Arial" w:hAnsi="Arial" w:cs="Arial"/>
          <w:color w:val="010000"/>
          <w:sz w:val="20"/>
          <w:szCs w:val="20"/>
        </w:rPr>
        <w:t xml:space="preserve"> Authorize the General Manager to negotiate, sign</w:t>
      </w:r>
      <w:r w:rsidR="00AD3324">
        <w:rPr>
          <w:rFonts w:ascii="Arial" w:hAnsi="Arial" w:cs="Arial"/>
          <w:color w:val="010000"/>
          <w:sz w:val="20"/>
          <w:szCs w:val="20"/>
        </w:rPr>
        <w:t>,</w:t>
      </w:r>
      <w:r w:rsidRPr="00AD3324">
        <w:rPr>
          <w:rFonts w:ascii="Arial" w:hAnsi="Arial" w:cs="Arial"/>
          <w:color w:val="010000"/>
          <w:sz w:val="20"/>
          <w:szCs w:val="20"/>
        </w:rPr>
        <w:t xml:space="preserve"> and implement contracts and transactions with affiliated parties </w:t>
      </w:r>
      <w:r w:rsidR="00AD3324">
        <w:rPr>
          <w:rFonts w:ascii="Arial" w:hAnsi="Arial" w:cs="Arial"/>
          <w:color w:val="010000"/>
          <w:sz w:val="20"/>
          <w:szCs w:val="20"/>
        </w:rPr>
        <w:t>by</w:t>
      </w:r>
      <w:r w:rsidRPr="00AD3324">
        <w:rPr>
          <w:rFonts w:ascii="Arial" w:hAnsi="Arial" w:cs="Arial"/>
          <w:color w:val="010000"/>
          <w:sz w:val="20"/>
          <w:szCs w:val="20"/>
        </w:rPr>
        <w:t xml:space="preserve"> the provisions of law, the Charter</w:t>
      </w:r>
      <w:r w:rsidR="00AD3324">
        <w:rPr>
          <w:rFonts w:ascii="Arial" w:hAnsi="Arial" w:cs="Arial"/>
          <w:color w:val="010000"/>
          <w:sz w:val="20"/>
          <w:szCs w:val="20"/>
        </w:rPr>
        <w:t>,</w:t>
      </w:r>
      <w:r w:rsidRPr="00AD3324">
        <w:rPr>
          <w:rFonts w:ascii="Arial" w:hAnsi="Arial" w:cs="Arial"/>
          <w:color w:val="010000"/>
          <w:sz w:val="20"/>
          <w:szCs w:val="20"/>
        </w:rPr>
        <w:t xml:space="preserve"> and regulations and ensure the interests of the Company.</w:t>
      </w:r>
    </w:p>
    <w:p w14:paraId="50A37EDC" w14:textId="6DC478BA" w:rsidR="009A6491" w:rsidRPr="00AD3324" w:rsidRDefault="0080716A" w:rsidP="00AD3324">
      <w:pPr>
        <w:keepNext/>
        <w:numPr>
          <w:ilvl w:val="0"/>
          <w:numId w:val="2"/>
        </w:num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AD3324">
        <w:rPr>
          <w:rFonts w:ascii="Arial" w:hAnsi="Arial" w:cs="Arial"/>
          <w:b/>
          <w:color w:val="010000"/>
          <w:sz w:val="20"/>
          <w:szCs w:val="20"/>
        </w:rPr>
        <w:t xml:space="preserve">Organize the Company's 40th Anniversary Celebration in mid-March 2024 according to </w:t>
      </w:r>
      <w:r w:rsidR="006B4749" w:rsidRPr="00AD3324">
        <w:rPr>
          <w:rFonts w:ascii="Arial" w:hAnsi="Arial" w:cs="Arial"/>
          <w:b/>
          <w:color w:val="010000"/>
          <w:sz w:val="20"/>
          <w:szCs w:val="20"/>
        </w:rPr>
        <w:t>General Mandate</w:t>
      </w:r>
      <w:r w:rsidRPr="00AD3324">
        <w:rPr>
          <w:rFonts w:ascii="Arial" w:hAnsi="Arial" w:cs="Arial"/>
          <w:b/>
          <w:color w:val="010000"/>
          <w:sz w:val="20"/>
          <w:szCs w:val="20"/>
        </w:rPr>
        <w:t xml:space="preserve"> No. 02/NQ-DHDCD dated April 28, 2023.</w:t>
      </w:r>
    </w:p>
    <w:p w14:paraId="2B46ABEB" w14:textId="1A9B48BA"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 xml:space="preserve">The Board of Directors and the Board of Management of the Company planned to organize the Company's </w:t>
      </w:r>
      <w:r w:rsidR="006B4749" w:rsidRPr="00AD3324">
        <w:rPr>
          <w:rFonts w:ascii="Arial" w:hAnsi="Arial" w:cs="Arial"/>
          <w:color w:val="010000"/>
          <w:sz w:val="20"/>
          <w:szCs w:val="20"/>
        </w:rPr>
        <w:t>40th-anniversary</w:t>
      </w:r>
      <w:r w:rsidRPr="00AD3324">
        <w:rPr>
          <w:rFonts w:ascii="Arial" w:hAnsi="Arial" w:cs="Arial"/>
          <w:color w:val="010000"/>
          <w:sz w:val="20"/>
          <w:szCs w:val="20"/>
        </w:rPr>
        <w:t xml:space="preserve"> celebration in Q2 or Q3/2023 </w:t>
      </w:r>
      <w:r w:rsidR="00AD3324">
        <w:rPr>
          <w:rFonts w:ascii="Arial" w:hAnsi="Arial" w:cs="Arial"/>
          <w:color w:val="010000"/>
          <w:sz w:val="20"/>
          <w:szCs w:val="20"/>
        </w:rPr>
        <w:t>following</w:t>
      </w:r>
      <w:r w:rsidRPr="00AD3324">
        <w:rPr>
          <w:rFonts w:ascii="Arial" w:hAnsi="Arial" w:cs="Arial"/>
          <w:color w:val="010000"/>
          <w:sz w:val="20"/>
          <w:szCs w:val="20"/>
        </w:rPr>
        <w:t xml:space="preserve"> </w:t>
      </w:r>
      <w:r w:rsidR="006B4749" w:rsidRPr="00AD3324">
        <w:rPr>
          <w:rFonts w:ascii="Arial" w:hAnsi="Arial" w:cs="Arial"/>
          <w:color w:val="010000"/>
          <w:sz w:val="20"/>
          <w:szCs w:val="20"/>
        </w:rPr>
        <w:t xml:space="preserve">General Mandate </w:t>
      </w:r>
      <w:r w:rsidRPr="00AD3324">
        <w:rPr>
          <w:rFonts w:ascii="Arial" w:hAnsi="Arial" w:cs="Arial"/>
          <w:color w:val="010000"/>
          <w:sz w:val="20"/>
          <w:szCs w:val="20"/>
        </w:rPr>
        <w:t xml:space="preserve">No. 02/NQ-DHDCD dated April 28, 2023, but it has not been possible to organize due to circumstances. Agree on </w:t>
      </w:r>
      <w:r w:rsidR="006B4749" w:rsidRPr="00AD3324">
        <w:rPr>
          <w:rFonts w:ascii="Arial" w:hAnsi="Arial" w:cs="Arial"/>
          <w:color w:val="010000"/>
          <w:sz w:val="20"/>
          <w:szCs w:val="20"/>
        </w:rPr>
        <w:t>implementing</w:t>
      </w:r>
      <w:r w:rsidRPr="00AD3324">
        <w:rPr>
          <w:rFonts w:ascii="Arial" w:hAnsi="Arial" w:cs="Arial"/>
          <w:color w:val="010000"/>
          <w:sz w:val="20"/>
          <w:szCs w:val="20"/>
        </w:rPr>
        <w:t xml:space="preserve"> the organization in mid-March 2024 with economical and reasonable costs. Organizational expenses are deducted from the Company's Bonus and Welfare Fund.</w:t>
      </w:r>
    </w:p>
    <w:p w14:paraId="513E22B9" w14:textId="5241CB28"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‎‎Article 2. The Board of Directors, the Supervisory Board, the Board of Management, functional departments</w:t>
      </w:r>
      <w:r w:rsidR="00AD3324">
        <w:rPr>
          <w:rFonts w:ascii="Arial" w:hAnsi="Arial" w:cs="Arial"/>
          <w:color w:val="010000"/>
          <w:sz w:val="20"/>
          <w:szCs w:val="20"/>
        </w:rPr>
        <w:t>,</w:t>
      </w:r>
      <w:bookmarkStart w:id="1" w:name="_GoBack"/>
      <w:bookmarkEnd w:id="1"/>
      <w:r w:rsidRPr="00AD3324">
        <w:rPr>
          <w:rFonts w:ascii="Arial" w:hAnsi="Arial" w:cs="Arial"/>
          <w:color w:val="010000"/>
          <w:sz w:val="20"/>
          <w:szCs w:val="20"/>
        </w:rPr>
        <w:t xml:space="preserve"> and divisions in the Company implement the Resolution and are responsible to the Board of Directors of the Company.</w:t>
      </w:r>
    </w:p>
    <w:p w14:paraId="57C6F091" w14:textId="77777777" w:rsidR="009A6491" w:rsidRPr="00AD3324" w:rsidRDefault="0080716A" w:rsidP="00AD332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D3324">
        <w:rPr>
          <w:rFonts w:ascii="Arial" w:hAnsi="Arial" w:cs="Arial"/>
          <w:color w:val="010000"/>
          <w:sz w:val="20"/>
          <w:szCs w:val="20"/>
        </w:rPr>
        <w:t>This Resolution takes effect from the date of signing.</w:t>
      </w:r>
    </w:p>
    <w:sectPr w:rsidR="009A6491" w:rsidRPr="00AD3324" w:rsidSect="0080716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2770"/>
    <w:multiLevelType w:val="multilevel"/>
    <w:tmpl w:val="279AAD38"/>
    <w:lvl w:ilvl="0">
      <w:start w:val="1"/>
      <w:numFmt w:val="decimal"/>
      <w:lvlText w:val="%1-"/>
      <w:lvlJc w:val="left"/>
      <w:pPr>
        <w:ind w:left="0" w:firstLine="0"/>
      </w:pPr>
      <w:rPr>
        <w:rFonts w:ascii="Arial" w:eastAsia="Arial" w:hAnsi="Arial" w:cs="Arial"/>
        <w:b w:val="0"/>
        <w:i w:val="0"/>
        <w:smallCaps w:val="0"/>
        <w:strike w:val="0"/>
        <w:color w:val="29252D"/>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4D7C72"/>
    <w:multiLevelType w:val="multilevel"/>
    <w:tmpl w:val="44AAB2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7D17DC"/>
    <w:multiLevelType w:val="multilevel"/>
    <w:tmpl w:val="38FCA1B2"/>
    <w:lvl w:ilvl="0">
      <w:start w:val="1"/>
      <w:numFmt w:val="bullet"/>
      <w:lvlText w:val="-"/>
      <w:lvlJc w:val="left"/>
      <w:pPr>
        <w:ind w:left="0" w:firstLine="0"/>
      </w:pPr>
      <w:rPr>
        <w:rFonts w:ascii="Arial" w:eastAsia="Arial" w:hAnsi="Arial" w:cs="Arial"/>
        <w:b w:val="0"/>
        <w:i w:val="0"/>
        <w:smallCaps w:val="0"/>
        <w:strike w:val="0"/>
        <w:color w:val="29252D"/>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1"/>
    <w:rsid w:val="006B4749"/>
    <w:rsid w:val="0080716A"/>
    <w:rsid w:val="00815BA9"/>
    <w:rsid w:val="00961E16"/>
    <w:rsid w:val="009A6491"/>
    <w:rsid w:val="00AD3324"/>
    <w:rsid w:val="00EB2289"/>
    <w:rsid w:val="00F8438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827"/>
  <w15:docId w15:val="{DC089CD0-FB37-4099-AB77-2AE9647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9252D"/>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9252D"/>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9252D"/>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29252D"/>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29252D"/>
    </w:rPr>
  </w:style>
  <w:style w:type="paragraph" w:customStyle="1" w:styleId="Heading11">
    <w:name w:val="Heading #1"/>
    <w:basedOn w:val="Normal"/>
    <w:link w:val="Heading10"/>
    <w:pPr>
      <w:spacing w:line="262" w:lineRule="auto"/>
      <w:ind w:left="1720" w:firstLine="520"/>
      <w:outlineLvl w:val="0"/>
    </w:pPr>
    <w:rPr>
      <w:rFonts w:ascii="Times New Roman" w:eastAsia="Times New Roman" w:hAnsi="Times New Roman" w:cs="Times New Roman"/>
      <w:b/>
      <w:bCs/>
      <w:color w:val="29252D"/>
    </w:rPr>
  </w:style>
  <w:style w:type="paragraph" w:customStyle="1" w:styleId="Other0">
    <w:name w:val="Other"/>
    <w:basedOn w:val="Normal"/>
    <w:link w:val="Other"/>
    <w:pPr>
      <w:spacing w:line="262" w:lineRule="auto"/>
      <w:ind w:firstLine="400"/>
    </w:pPr>
    <w:rPr>
      <w:rFonts w:ascii="Times New Roman" w:eastAsia="Times New Roman" w:hAnsi="Times New Roman" w:cs="Times New Roman"/>
      <w:color w:val="29252D"/>
    </w:rPr>
  </w:style>
  <w:style w:type="paragraph" w:customStyle="1" w:styleId="Tablecaption0">
    <w:name w:val="Table caption"/>
    <w:basedOn w:val="Normal"/>
    <w:link w:val="Tablecaption"/>
    <w:pPr>
      <w:spacing w:line="264" w:lineRule="auto"/>
      <w:ind w:firstLine="720"/>
    </w:pPr>
    <w:rPr>
      <w:rFonts w:ascii="Times New Roman" w:eastAsia="Times New Roman" w:hAnsi="Times New Roman" w:cs="Times New Roman"/>
      <w:i/>
      <w:iCs/>
      <w:color w:val="29252D"/>
    </w:rPr>
  </w:style>
  <w:style w:type="paragraph" w:customStyle="1" w:styleId="Bodytext20">
    <w:name w:val="Body text (2)"/>
    <w:basedOn w:val="Normal"/>
    <w:link w:val="Bodytext2"/>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ng2QwSw0R8EPlO9idJi5pSS5yQ==">CgMxLjAyCGguZ2pkZ3hzOAByITF0RXdrSjR6ekJyejE4QTJmYnZFY3J3SnU0WHlCUVVpZw==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3612</Characters>
  <Application>Microsoft Office Word</Application>
  <DocSecurity>0</DocSecurity>
  <Lines>80</Lines>
  <Paragraphs>52</Paragraphs>
  <ScaleCrop>false</ScaleCrop>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2024-03-04T04:53:00Z</dcterms:created>
  <dcterms:modified xsi:type="dcterms:W3CDTF">2024-03-05T03:29:00Z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38359b2f3b78d92e571524453221f099a16304fad8cf5e905e0666869630404e</vt:lpwstr>
  </property>
</Properties>
</file>