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435D" w14:textId="77777777" w:rsidR="00992157" w:rsidRPr="0094567E" w:rsidRDefault="009F1EAA" w:rsidP="00160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94567E">
        <w:rPr>
          <w:rFonts w:ascii="Arial" w:hAnsi="Arial" w:cs="Arial"/>
          <w:b/>
          <w:color w:val="010000"/>
          <w:sz w:val="20"/>
        </w:rPr>
        <w:t>SCI: Board Resolution</w:t>
      </w:r>
    </w:p>
    <w:p w14:paraId="444E435E" w14:textId="77777777" w:rsidR="00992157" w:rsidRPr="0094567E" w:rsidRDefault="009F1EAA" w:rsidP="00160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On February 29, 2024, SCI E&amp;C Joint Stock Company announced Resolution No. 03/2024/NQ-SCIEC-HDQT on the organization of the Annual General Meeting of Shareholders 2024 as follows:</w:t>
      </w:r>
    </w:p>
    <w:p w14:paraId="444E435F" w14:textId="77777777" w:rsidR="00992157" w:rsidRPr="0094567E" w:rsidRDefault="009F1EAA" w:rsidP="00160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Article 1: The Board of Directors approves the organization plan of the Company's Annual General Meeting of Shareholders 2024 as follows:</w:t>
      </w:r>
    </w:p>
    <w:p w14:paraId="444E4360" w14:textId="77777777" w:rsidR="00992157" w:rsidRPr="0094567E" w:rsidRDefault="009F1EAA" w:rsidP="00160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Time to hold the Annual General Meeting of Shareholders 2024: From 08:45 a.m., April 12, 2024</w:t>
      </w:r>
    </w:p>
    <w:p w14:paraId="444E4361" w14:textId="1D6FB8C0" w:rsidR="00992157" w:rsidRPr="0094567E" w:rsidRDefault="009F1EAA" w:rsidP="00160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 xml:space="preserve">Venue: 3rd Floor, Tower C, Golden Palace </w:t>
      </w:r>
      <w:r w:rsidR="00F15E9A" w:rsidRPr="0094567E">
        <w:rPr>
          <w:rFonts w:ascii="Arial" w:hAnsi="Arial" w:cs="Arial"/>
          <w:color w:val="010000"/>
          <w:sz w:val="20"/>
        </w:rPr>
        <w:t>Building</w:t>
      </w:r>
      <w:r w:rsidRPr="0094567E">
        <w:rPr>
          <w:rFonts w:ascii="Arial" w:hAnsi="Arial" w:cs="Arial"/>
          <w:color w:val="010000"/>
          <w:sz w:val="20"/>
        </w:rPr>
        <w:t>, Me Tri Street, Me Tri Ward, Nam Tu Liem District, Hanoi.</w:t>
      </w:r>
    </w:p>
    <w:p w14:paraId="444E4362" w14:textId="013BA948" w:rsidR="00992157" w:rsidRPr="0094567E" w:rsidRDefault="009F1EAA" w:rsidP="00160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Exercise rate</w:t>
      </w:r>
      <w:r w:rsidR="00F15E9A" w:rsidRPr="0094567E">
        <w:rPr>
          <w:rFonts w:ascii="Arial" w:hAnsi="Arial" w:cs="Arial"/>
          <w:color w:val="010000"/>
          <w:sz w:val="20"/>
        </w:rPr>
        <w:t>:</w:t>
      </w:r>
      <w:r w:rsidRPr="0094567E">
        <w:rPr>
          <w:rFonts w:ascii="Arial" w:hAnsi="Arial" w:cs="Arial"/>
          <w:color w:val="010000"/>
          <w:sz w:val="20"/>
        </w:rPr>
        <w:t xml:space="preserve"> 01 share - 01 voting right</w:t>
      </w:r>
    </w:p>
    <w:p w14:paraId="444E4363" w14:textId="77777777" w:rsidR="00992157" w:rsidRPr="0094567E" w:rsidRDefault="009F1EAA" w:rsidP="00160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Meeting format: Online.</w:t>
      </w:r>
    </w:p>
    <w:p w14:paraId="444E4364" w14:textId="77777777" w:rsidR="00992157" w:rsidRPr="0094567E" w:rsidRDefault="009F1EAA" w:rsidP="00160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Meeting contents:</w:t>
      </w:r>
    </w:p>
    <w:p w14:paraId="444E4365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2024;</w:t>
      </w:r>
    </w:p>
    <w:p w14:paraId="444E4366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 of the Board of Directors;</w:t>
      </w:r>
    </w:p>
    <w:p w14:paraId="444E4367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Report on the activities in 2023 of the Audit Committee.</w:t>
      </w:r>
    </w:p>
    <w:p w14:paraId="444E4368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The Audited Financial Statements 2023;</w:t>
      </w:r>
    </w:p>
    <w:p w14:paraId="444E4369" w14:textId="07A4CBE0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 xml:space="preserve">Profit distribution plan </w:t>
      </w:r>
      <w:r w:rsidR="00F15E9A" w:rsidRPr="0094567E">
        <w:rPr>
          <w:rFonts w:ascii="Arial" w:hAnsi="Arial" w:cs="Arial"/>
          <w:color w:val="010000"/>
          <w:sz w:val="20"/>
        </w:rPr>
        <w:t>for</w:t>
      </w:r>
      <w:r w:rsidRPr="0094567E">
        <w:rPr>
          <w:rFonts w:ascii="Arial" w:hAnsi="Arial" w:cs="Arial"/>
          <w:color w:val="010000"/>
          <w:sz w:val="20"/>
        </w:rPr>
        <w:t xml:space="preserve"> 2023:</w:t>
      </w:r>
    </w:p>
    <w:p w14:paraId="444E436A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Remuneration of the Board of Directors in 2023 and the remuneration plan for 2024;</w:t>
      </w:r>
    </w:p>
    <w:p w14:paraId="444E436B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Authorization to the Board of Directors to decide a number of contents under the authority of the General Meeting of Shareholders.</w:t>
      </w:r>
    </w:p>
    <w:p w14:paraId="444E436C" w14:textId="5D3F929F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 xml:space="preserve">Investment plan for </w:t>
      </w:r>
      <w:r w:rsidR="00F15E9A" w:rsidRPr="0094567E">
        <w:rPr>
          <w:rFonts w:ascii="Arial" w:hAnsi="Arial" w:cs="Arial"/>
          <w:color w:val="010000"/>
          <w:sz w:val="20"/>
        </w:rPr>
        <w:t>vehicle, machine</w:t>
      </w:r>
      <w:r w:rsidRPr="0094567E">
        <w:rPr>
          <w:rFonts w:ascii="Arial" w:hAnsi="Arial" w:cs="Arial"/>
          <w:color w:val="010000"/>
          <w:sz w:val="20"/>
        </w:rPr>
        <w:t xml:space="preserve"> and equipment for construction;</w:t>
      </w:r>
    </w:p>
    <w:p w14:paraId="444E436D" w14:textId="77777777" w:rsidR="00992157" w:rsidRPr="0094567E" w:rsidRDefault="009F1EAA" w:rsidP="00160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Other contents under the authority of the General Meeting of Shareholders (if any).</w:t>
      </w:r>
    </w:p>
    <w:p w14:paraId="444E436E" w14:textId="77777777" w:rsidR="00992157" w:rsidRPr="0094567E" w:rsidRDefault="009F1EAA" w:rsidP="00160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 xml:space="preserve">Article 2: Assign the Company’s Manager to direct related tasks and contents of the organization of the Annual General Meeting of Shareholders 2024 in compliance with legal regulations and the Company’s Charter. </w:t>
      </w:r>
    </w:p>
    <w:p w14:paraId="444E436F" w14:textId="77777777" w:rsidR="00992157" w:rsidRPr="0094567E" w:rsidRDefault="009F1EAA" w:rsidP="00160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567E">
        <w:rPr>
          <w:rFonts w:ascii="Arial" w:hAnsi="Arial" w:cs="Arial"/>
          <w:color w:val="010000"/>
          <w:sz w:val="20"/>
        </w:rPr>
        <w:t>Article 3: This Resolution takes effect from the date of its signing. The Board of Directors, the Board of Managers, Head of related departments are responsible for implementing this Resolution.</w:t>
      </w:r>
      <w:bookmarkEnd w:id="1"/>
    </w:p>
    <w:sectPr w:rsidR="00992157" w:rsidRPr="0094567E" w:rsidSect="009F1EA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0CEB"/>
    <w:multiLevelType w:val="multilevel"/>
    <w:tmpl w:val="D6EEE66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55447F"/>
    <w:multiLevelType w:val="multilevel"/>
    <w:tmpl w:val="47AAA5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7"/>
    <w:rsid w:val="001604AC"/>
    <w:rsid w:val="0094567E"/>
    <w:rsid w:val="00992157"/>
    <w:rsid w:val="009F1EAA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E435D"/>
  <w15:docId w15:val="{DC089CD0-FB37-4099-AB77-2AE9647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BPnQXuiVhSJTiNcqaV8p0RBsg==">CgMxLjAyCGguZ2pkZ3hzOAByITFVT1lJNkliLUJwNUNmTF80S3NuOXVIR29XUk5oZ21aWA==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2024-03-04T05:20:00Z</dcterms:created>
  <dcterms:modified xsi:type="dcterms:W3CDTF">2024-03-05T03:13:00Z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83922f6938358c5b83df168fd79c02508a396671d192a08ed3287b7cf62dd1e9</vt:lpwstr>
  </property>
</Properties>
</file>