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C41C7" w14:textId="77777777" w:rsidR="000F3C4B" w:rsidRPr="00863D8E" w:rsidRDefault="00DB00ED" w:rsidP="00DB00ED">
      <w:pPr>
        <w:pBdr>
          <w:top w:val="nil"/>
          <w:left w:val="nil"/>
          <w:bottom w:val="nil"/>
          <w:right w:val="nil"/>
          <w:between w:val="nil"/>
        </w:pBdr>
        <w:tabs>
          <w:tab w:val="left" w:pos="426"/>
          <w:tab w:val="left" w:pos="3520"/>
        </w:tabs>
        <w:spacing w:after="120" w:line="360" w:lineRule="auto"/>
        <w:jc w:val="both"/>
        <w:rPr>
          <w:rFonts w:ascii="Arial" w:eastAsia="Arial" w:hAnsi="Arial" w:cs="Arial"/>
          <w:b/>
          <w:color w:val="010000"/>
          <w:sz w:val="20"/>
          <w:szCs w:val="20"/>
        </w:rPr>
      </w:pPr>
      <w:r w:rsidRPr="00863D8E">
        <w:rPr>
          <w:rFonts w:ascii="Arial" w:hAnsi="Arial" w:cs="Arial"/>
          <w:b/>
          <w:color w:val="010000"/>
          <w:sz w:val="20"/>
        </w:rPr>
        <w:t>NVB: Board Resolution</w:t>
      </w:r>
    </w:p>
    <w:p w14:paraId="577C41C8" w14:textId="77777777" w:rsidR="000F3C4B" w:rsidRPr="00863D8E" w:rsidRDefault="00DB00ED" w:rsidP="00DB00ED">
      <w:pPr>
        <w:pBdr>
          <w:top w:val="nil"/>
          <w:left w:val="nil"/>
          <w:bottom w:val="nil"/>
          <w:right w:val="nil"/>
          <w:between w:val="nil"/>
        </w:pBdr>
        <w:tabs>
          <w:tab w:val="left" w:pos="426"/>
          <w:tab w:val="left" w:pos="3520"/>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On February 29, 2024, National Citizen Commercial Joint Stock Bank announced Resolution No. 679/2024/NQ-HDQT on approving the authorization contract for AMC to implement the auction of real estate collateral at Lot B2-3 expanded Green Island Area, </w:t>
      </w:r>
      <w:proofErr w:type="spellStart"/>
      <w:r w:rsidRPr="00863D8E">
        <w:rPr>
          <w:rFonts w:ascii="Arial" w:hAnsi="Arial" w:cs="Arial"/>
          <w:color w:val="010000"/>
          <w:sz w:val="20"/>
        </w:rPr>
        <w:t>Hoa</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Cuong</w:t>
      </w:r>
      <w:proofErr w:type="spellEnd"/>
      <w:r w:rsidRPr="00863D8E">
        <w:rPr>
          <w:rFonts w:ascii="Arial" w:hAnsi="Arial" w:cs="Arial"/>
          <w:color w:val="010000"/>
          <w:sz w:val="20"/>
        </w:rPr>
        <w:t xml:space="preserve"> </w:t>
      </w:r>
      <w:proofErr w:type="spellStart"/>
      <w:proofErr w:type="gramStart"/>
      <w:r w:rsidRPr="00863D8E">
        <w:rPr>
          <w:rFonts w:ascii="Arial" w:hAnsi="Arial" w:cs="Arial"/>
          <w:color w:val="010000"/>
          <w:sz w:val="20"/>
        </w:rPr>
        <w:t>Bac</w:t>
      </w:r>
      <w:proofErr w:type="spellEnd"/>
      <w:proofErr w:type="gramEnd"/>
      <w:r w:rsidRPr="00863D8E">
        <w:rPr>
          <w:rFonts w:ascii="Arial" w:hAnsi="Arial" w:cs="Arial"/>
          <w:color w:val="010000"/>
          <w:sz w:val="20"/>
        </w:rPr>
        <w:t xml:space="preserve"> Ward, </w:t>
      </w:r>
      <w:proofErr w:type="spellStart"/>
      <w:r w:rsidRPr="00863D8E">
        <w:rPr>
          <w:rFonts w:ascii="Arial" w:hAnsi="Arial" w:cs="Arial"/>
          <w:color w:val="010000"/>
          <w:sz w:val="20"/>
        </w:rPr>
        <w:t>Hai</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Chau</w:t>
      </w:r>
      <w:proofErr w:type="spellEnd"/>
      <w:r w:rsidRPr="00863D8E">
        <w:rPr>
          <w:rFonts w:ascii="Arial" w:hAnsi="Arial" w:cs="Arial"/>
          <w:color w:val="010000"/>
          <w:sz w:val="20"/>
        </w:rPr>
        <w:t xml:space="preserve"> District, Da Nang City as follows:</w:t>
      </w:r>
    </w:p>
    <w:p w14:paraId="577C41C9" w14:textId="77777777" w:rsidR="000F3C4B" w:rsidRPr="00863D8E" w:rsidRDefault="00DB00ED" w:rsidP="00DB00ED">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63D8E">
        <w:rPr>
          <w:rFonts w:ascii="Arial" w:hAnsi="Arial" w:cs="Arial"/>
          <w:color w:val="010000"/>
          <w:sz w:val="20"/>
        </w:rPr>
        <w:t>‎‎Article 1. Approve the authorization contract for National Citizen Bank Asset Management Company Limited (AMC) to implement the auction of Collateral (hereinafter referred to as "Assets"), specifically:</w:t>
      </w:r>
    </w:p>
    <w:p w14:paraId="577C41CA" w14:textId="77777777" w:rsidR="000F3C4B" w:rsidRPr="00863D8E" w:rsidRDefault="00DB00ED" w:rsidP="00DB00ED">
      <w:pPr>
        <w:numPr>
          <w:ilvl w:val="0"/>
          <w:numId w:val="1"/>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Auction assets: Land use rights according to Land Use Rights Certificate No. AN108174 issued by Da Nang City People's Committee on November 28, 2008 and assets attached to land formed in the future according to Construction License No. 1344/GPXD issued by </w:t>
      </w:r>
      <w:proofErr w:type="spellStart"/>
      <w:r w:rsidRPr="00863D8E">
        <w:rPr>
          <w:rFonts w:ascii="Arial" w:hAnsi="Arial" w:cs="Arial"/>
          <w:color w:val="010000"/>
          <w:sz w:val="20"/>
        </w:rPr>
        <w:t>Hai</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Chau</w:t>
      </w:r>
      <w:proofErr w:type="spellEnd"/>
      <w:r w:rsidRPr="00863D8E">
        <w:rPr>
          <w:rFonts w:ascii="Arial" w:hAnsi="Arial" w:cs="Arial"/>
          <w:color w:val="010000"/>
          <w:sz w:val="20"/>
        </w:rPr>
        <w:t xml:space="preserve"> District People's Committee issued on June 14, 2019 located at Lot B2-3 expanded Green Island Area, </w:t>
      </w:r>
      <w:proofErr w:type="spellStart"/>
      <w:r w:rsidRPr="00863D8E">
        <w:rPr>
          <w:rFonts w:ascii="Arial" w:hAnsi="Arial" w:cs="Arial"/>
          <w:color w:val="010000"/>
          <w:sz w:val="20"/>
        </w:rPr>
        <w:t>Hoa</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Cuong</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Bac</w:t>
      </w:r>
      <w:proofErr w:type="spellEnd"/>
      <w:r w:rsidRPr="00863D8E">
        <w:rPr>
          <w:rFonts w:ascii="Arial" w:hAnsi="Arial" w:cs="Arial"/>
          <w:color w:val="010000"/>
          <w:sz w:val="20"/>
        </w:rPr>
        <w:t xml:space="preserve"> Ward, </w:t>
      </w:r>
      <w:proofErr w:type="spellStart"/>
      <w:r w:rsidRPr="00863D8E">
        <w:rPr>
          <w:rFonts w:ascii="Arial" w:hAnsi="Arial" w:cs="Arial"/>
          <w:color w:val="010000"/>
          <w:sz w:val="20"/>
        </w:rPr>
        <w:t>Hai</w:t>
      </w:r>
      <w:proofErr w:type="spellEnd"/>
      <w:r w:rsidRPr="00863D8E">
        <w:rPr>
          <w:rFonts w:ascii="Arial" w:hAnsi="Arial" w:cs="Arial"/>
          <w:color w:val="010000"/>
          <w:sz w:val="20"/>
        </w:rPr>
        <w:t xml:space="preserve"> </w:t>
      </w:r>
      <w:proofErr w:type="spellStart"/>
      <w:r w:rsidRPr="00863D8E">
        <w:rPr>
          <w:rFonts w:ascii="Arial" w:hAnsi="Arial" w:cs="Arial"/>
          <w:color w:val="010000"/>
          <w:sz w:val="20"/>
        </w:rPr>
        <w:t>Chau</w:t>
      </w:r>
      <w:proofErr w:type="spellEnd"/>
      <w:r w:rsidRPr="00863D8E">
        <w:rPr>
          <w:rFonts w:ascii="Arial" w:hAnsi="Arial" w:cs="Arial"/>
          <w:color w:val="010000"/>
          <w:sz w:val="20"/>
        </w:rPr>
        <w:t xml:space="preserve"> District, Da Nang City.</w:t>
      </w:r>
    </w:p>
    <w:p w14:paraId="577C41CB" w14:textId="77777777" w:rsidR="000F3C4B" w:rsidRPr="00863D8E" w:rsidRDefault="00DB00ED" w:rsidP="00DB00ED">
      <w:pPr>
        <w:numPr>
          <w:ilvl w:val="0"/>
          <w:numId w:val="1"/>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Authorized work:</w:t>
      </w:r>
    </w:p>
    <w:p w14:paraId="577C41CC" w14:textId="77777777" w:rsidR="000F3C4B" w:rsidRPr="00863D8E" w:rsidRDefault="00DB00ED" w:rsidP="00DB00ED">
      <w:pPr>
        <w:numPr>
          <w:ilvl w:val="0"/>
          <w:numId w:val="2"/>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Select and sign an Asset Auction Service Contract with an asset auction organization;</w:t>
      </w:r>
    </w:p>
    <w:p w14:paraId="577C41CD" w14:textId="08341DE6" w:rsidR="000F3C4B" w:rsidRPr="00863D8E" w:rsidRDefault="00DB00ED" w:rsidP="00DB00ED">
      <w:pPr>
        <w:numPr>
          <w:ilvl w:val="0"/>
          <w:numId w:val="2"/>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Negotiate and sign Deposit Contracts, Sales/Transfer Contracts</w:t>
      </w:r>
      <w:r w:rsidR="00F51A15">
        <w:rPr>
          <w:rFonts w:ascii="Arial" w:hAnsi="Arial" w:cs="Arial"/>
          <w:color w:val="010000"/>
          <w:sz w:val="20"/>
        </w:rPr>
        <w:t>,</w:t>
      </w:r>
      <w:r w:rsidRPr="00863D8E">
        <w:rPr>
          <w:rFonts w:ascii="Arial" w:hAnsi="Arial" w:cs="Arial"/>
          <w:color w:val="010000"/>
          <w:sz w:val="20"/>
        </w:rPr>
        <w:t xml:space="preserve"> and other types of Contracts to carry out auction/sale/transfer work (if any); appendices amending and/or supplementing the Contract, notices, minutes, exchanged official dispatches, and documents of the Contract to perform the authorized work under the Authorization Contract;</w:t>
      </w:r>
    </w:p>
    <w:p w14:paraId="577C41CE" w14:textId="3980AB14" w:rsidR="000F3C4B" w:rsidRPr="00863D8E" w:rsidRDefault="00DB00ED" w:rsidP="00DB00ED">
      <w:pPr>
        <w:numPr>
          <w:ilvl w:val="0"/>
          <w:numId w:val="2"/>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Decide on relevant expenses during the transfer process; pay taxes, fees, charges, and other service prices as prescribed by law (if any) arising in the process of performing the </w:t>
      </w:r>
      <w:r w:rsidR="00F51A15">
        <w:rPr>
          <w:rFonts w:ascii="Arial" w:hAnsi="Arial" w:cs="Arial"/>
          <w:color w:val="010000"/>
          <w:sz w:val="20"/>
        </w:rPr>
        <w:t>above-authorized</w:t>
      </w:r>
      <w:r w:rsidRPr="00863D8E">
        <w:rPr>
          <w:rFonts w:ascii="Arial" w:hAnsi="Arial" w:cs="Arial"/>
          <w:color w:val="010000"/>
          <w:sz w:val="20"/>
        </w:rPr>
        <w:t xml:space="preserve"> work </w:t>
      </w:r>
      <w:r w:rsidR="00F51A15">
        <w:rPr>
          <w:rFonts w:ascii="Arial" w:hAnsi="Arial" w:cs="Arial"/>
          <w:color w:val="010000"/>
          <w:sz w:val="20"/>
        </w:rPr>
        <w:t>following</w:t>
      </w:r>
      <w:r w:rsidRPr="00863D8E">
        <w:rPr>
          <w:rFonts w:ascii="Arial" w:hAnsi="Arial" w:cs="Arial"/>
          <w:color w:val="010000"/>
          <w:sz w:val="20"/>
        </w:rPr>
        <w:t xml:space="preserve"> current law.</w:t>
      </w:r>
    </w:p>
    <w:p w14:paraId="577C41CF" w14:textId="182FF39D" w:rsidR="000F3C4B" w:rsidRPr="00863D8E" w:rsidRDefault="00DB00ED" w:rsidP="00DB00ED">
      <w:pPr>
        <w:numPr>
          <w:ilvl w:val="0"/>
          <w:numId w:val="2"/>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Carry out administrative procedures according to the provisions of law, directly work with competent state agencies, other organizations</w:t>
      </w:r>
      <w:r w:rsidR="00F51A15">
        <w:rPr>
          <w:rFonts w:ascii="Arial" w:hAnsi="Arial" w:cs="Arial"/>
          <w:color w:val="010000"/>
          <w:sz w:val="20"/>
        </w:rPr>
        <w:t>,</w:t>
      </w:r>
      <w:r w:rsidRPr="00863D8E">
        <w:rPr>
          <w:rFonts w:ascii="Arial" w:hAnsi="Arial" w:cs="Arial"/>
          <w:color w:val="010000"/>
          <w:sz w:val="20"/>
        </w:rPr>
        <w:t xml:space="preserve"> and individuals related to the implementation, </w:t>
      </w:r>
      <w:r w:rsidR="00F51A15">
        <w:rPr>
          <w:rFonts w:ascii="Arial" w:hAnsi="Arial" w:cs="Arial"/>
          <w:color w:val="010000"/>
          <w:sz w:val="20"/>
        </w:rPr>
        <w:t xml:space="preserve">and </w:t>
      </w:r>
      <w:r w:rsidRPr="00863D8E">
        <w:rPr>
          <w:rFonts w:ascii="Arial" w:hAnsi="Arial" w:cs="Arial"/>
          <w:color w:val="010000"/>
          <w:sz w:val="20"/>
        </w:rPr>
        <w:t>transfer/sell assets in Clause 1.1 of this Article.</w:t>
      </w:r>
    </w:p>
    <w:p w14:paraId="577C41D0" w14:textId="77777777" w:rsidR="000F3C4B" w:rsidRPr="00863D8E" w:rsidRDefault="00DB00ED" w:rsidP="00DB00ED">
      <w:pPr>
        <w:numPr>
          <w:ilvl w:val="0"/>
          <w:numId w:val="2"/>
        </w:numPr>
        <w:pBdr>
          <w:top w:val="nil"/>
          <w:left w:val="nil"/>
          <w:bottom w:val="nil"/>
          <w:right w:val="nil"/>
          <w:between w:val="nil"/>
        </w:pBdr>
        <w:tabs>
          <w:tab w:val="left" w:pos="426"/>
          <w:tab w:val="left" w:pos="976"/>
        </w:tabs>
        <w:spacing w:after="120" w:line="360" w:lineRule="auto"/>
        <w:jc w:val="both"/>
        <w:rPr>
          <w:rFonts w:ascii="Arial" w:eastAsia="Arial" w:hAnsi="Arial" w:cs="Arial"/>
          <w:color w:val="010000"/>
          <w:sz w:val="20"/>
          <w:szCs w:val="20"/>
        </w:rPr>
      </w:pPr>
      <w:r w:rsidRPr="00863D8E">
        <w:rPr>
          <w:rFonts w:ascii="Arial" w:hAnsi="Arial" w:cs="Arial"/>
          <w:color w:val="010000"/>
          <w:sz w:val="20"/>
        </w:rPr>
        <w:t>Hand over asset dossiers to the winning bidder.</w:t>
      </w:r>
    </w:p>
    <w:p w14:paraId="577C41D1" w14:textId="7A3D2100" w:rsidR="000F3C4B" w:rsidRPr="00863D8E" w:rsidRDefault="00DB00ED" w:rsidP="00DB00ED">
      <w:pPr>
        <w:numPr>
          <w:ilvl w:val="0"/>
          <w:numId w:val="1"/>
        </w:numPr>
        <w:pBdr>
          <w:top w:val="nil"/>
          <w:left w:val="nil"/>
          <w:bottom w:val="nil"/>
          <w:right w:val="nil"/>
          <w:between w:val="nil"/>
        </w:pBdr>
        <w:tabs>
          <w:tab w:val="left" w:pos="426"/>
          <w:tab w:val="left" w:pos="979"/>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Authorization remuneration: This authorization is without </w:t>
      </w:r>
      <w:r w:rsidR="00863D8E" w:rsidRPr="00863D8E">
        <w:rPr>
          <w:rFonts w:ascii="Arial" w:hAnsi="Arial" w:cs="Arial"/>
          <w:color w:val="010000"/>
          <w:sz w:val="20"/>
        </w:rPr>
        <w:t>remuneration</w:t>
      </w:r>
      <w:r w:rsidRPr="00863D8E">
        <w:rPr>
          <w:rFonts w:ascii="Arial" w:hAnsi="Arial" w:cs="Arial"/>
          <w:color w:val="010000"/>
          <w:sz w:val="20"/>
        </w:rPr>
        <w:t>.</w:t>
      </w:r>
    </w:p>
    <w:p w14:paraId="577C41D2" w14:textId="084E77A3" w:rsidR="000F3C4B" w:rsidRPr="00863D8E" w:rsidRDefault="00DB00ED" w:rsidP="00DB00ED">
      <w:pPr>
        <w:numPr>
          <w:ilvl w:val="0"/>
          <w:numId w:val="1"/>
        </w:numPr>
        <w:pBdr>
          <w:top w:val="nil"/>
          <w:left w:val="nil"/>
          <w:bottom w:val="nil"/>
          <w:right w:val="nil"/>
          <w:between w:val="nil"/>
        </w:pBdr>
        <w:tabs>
          <w:tab w:val="left" w:pos="426"/>
          <w:tab w:val="left" w:pos="979"/>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Authorization to other persons: Within the scope of authorization, AMC is not allowed to authorize other individuals or organizations to perform authorized work, except in the case of authorizing AMC’s officials and employees to carry out procedures and work during the process of AMC implementing the </w:t>
      </w:r>
      <w:r w:rsidR="00F51A15">
        <w:rPr>
          <w:rFonts w:ascii="Arial" w:hAnsi="Arial" w:cs="Arial"/>
          <w:color w:val="010000"/>
          <w:sz w:val="20"/>
        </w:rPr>
        <w:t>above-authorized</w:t>
      </w:r>
      <w:r w:rsidRPr="00863D8E">
        <w:rPr>
          <w:rFonts w:ascii="Arial" w:hAnsi="Arial" w:cs="Arial"/>
          <w:color w:val="010000"/>
          <w:sz w:val="20"/>
        </w:rPr>
        <w:t xml:space="preserve"> contents.</w:t>
      </w:r>
    </w:p>
    <w:p w14:paraId="577C41D3" w14:textId="377E5698" w:rsidR="000F3C4B" w:rsidRPr="00863D8E" w:rsidRDefault="00DB00ED" w:rsidP="00DB00ED">
      <w:pPr>
        <w:numPr>
          <w:ilvl w:val="0"/>
          <w:numId w:val="1"/>
        </w:numPr>
        <w:pBdr>
          <w:top w:val="nil"/>
          <w:left w:val="nil"/>
          <w:bottom w:val="nil"/>
          <w:right w:val="nil"/>
          <w:between w:val="nil"/>
        </w:pBdr>
        <w:tabs>
          <w:tab w:val="left" w:pos="426"/>
          <w:tab w:val="left" w:pos="979"/>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Other related contents </w:t>
      </w:r>
      <w:r w:rsidR="00F51A15">
        <w:rPr>
          <w:rFonts w:ascii="Arial" w:hAnsi="Arial" w:cs="Arial"/>
          <w:color w:val="010000"/>
          <w:sz w:val="20"/>
        </w:rPr>
        <w:t>following</w:t>
      </w:r>
      <w:r w:rsidRPr="00863D8E">
        <w:rPr>
          <w:rFonts w:ascii="Arial" w:hAnsi="Arial" w:cs="Arial"/>
          <w:color w:val="010000"/>
          <w:sz w:val="20"/>
        </w:rPr>
        <w:t xml:space="preserve"> provisions of current law.</w:t>
      </w:r>
    </w:p>
    <w:p w14:paraId="577C41D5" w14:textId="77777777" w:rsidR="000F3C4B" w:rsidRPr="00863D8E" w:rsidRDefault="00DB00ED" w:rsidP="00DB00ED">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63D8E">
        <w:rPr>
          <w:rFonts w:ascii="Arial" w:hAnsi="Arial" w:cs="Arial"/>
          <w:color w:val="010000"/>
          <w:sz w:val="20"/>
        </w:rPr>
        <w:t>‎‎Article 2. Organization and Implementation</w:t>
      </w:r>
    </w:p>
    <w:p w14:paraId="577C41D6" w14:textId="04CCE7E7" w:rsidR="000F3C4B" w:rsidRPr="00863D8E" w:rsidRDefault="00DB00ED" w:rsidP="00DB00ED">
      <w:pPr>
        <w:numPr>
          <w:ilvl w:val="0"/>
          <w:numId w:val="3"/>
        </w:numPr>
        <w:pBdr>
          <w:top w:val="nil"/>
          <w:left w:val="nil"/>
          <w:bottom w:val="nil"/>
          <w:right w:val="nil"/>
          <w:between w:val="nil"/>
        </w:pBdr>
        <w:tabs>
          <w:tab w:val="left" w:pos="426"/>
          <w:tab w:val="left" w:pos="979"/>
        </w:tabs>
        <w:spacing w:after="120" w:line="360" w:lineRule="auto"/>
        <w:jc w:val="both"/>
        <w:rPr>
          <w:rFonts w:ascii="Arial" w:eastAsia="Arial" w:hAnsi="Arial" w:cs="Arial"/>
          <w:color w:val="010000"/>
          <w:sz w:val="20"/>
          <w:szCs w:val="20"/>
        </w:rPr>
      </w:pPr>
      <w:bookmarkStart w:id="0" w:name="_heading=h.gjdgxs"/>
      <w:bookmarkEnd w:id="0"/>
      <w:r w:rsidRPr="00863D8E">
        <w:rPr>
          <w:rFonts w:ascii="Arial" w:hAnsi="Arial" w:cs="Arial"/>
          <w:color w:val="010000"/>
          <w:sz w:val="20"/>
        </w:rPr>
        <w:t>Request AMC to properly and fully implement the scope of authorized work in compliance with the law, NCB regulations</w:t>
      </w:r>
      <w:r w:rsidR="00F51A15">
        <w:rPr>
          <w:rFonts w:ascii="Arial" w:hAnsi="Arial" w:cs="Arial"/>
          <w:color w:val="010000"/>
          <w:sz w:val="20"/>
        </w:rPr>
        <w:t>,</w:t>
      </w:r>
      <w:bookmarkStart w:id="1" w:name="_GoBack"/>
      <w:bookmarkEnd w:id="1"/>
      <w:r w:rsidRPr="00863D8E">
        <w:rPr>
          <w:rFonts w:ascii="Arial" w:hAnsi="Arial" w:cs="Arial"/>
          <w:color w:val="010000"/>
          <w:sz w:val="20"/>
        </w:rPr>
        <w:t xml:space="preserve"> and NCB's approval of the asset auction plan.</w:t>
      </w:r>
    </w:p>
    <w:p w14:paraId="577C41D7" w14:textId="77777777" w:rsidR="000F3C4B" w:rsidRPr="00863D8E" w:rsidRDefault="00DB00ED" w:rsidP="00DB00ED">
      <w:pPr>
        <w:numPr>
          <w:ilvl w:val="0"/>
          <w:numId w:val="3"/>
        </w:numPr>
        <w:pBdr>
          <w:top w:val="nil"/>
          <w:left w:val="nil"/>
          <w:bottom w:val="nil"/>
          <w:right w:val="nil"/>
          <w:between w:val="nil"/>
        </w:pBdr>
        <w:tabs>
          <w:tab w:val="left" w:pos="426"/>
          <w:tab w:val="left" w:pos="979"/>
        </w:tabs>
        <w:spacing w:after="120" w:line="360" w:lineRule="auto"/>
        <w:jc w:val="both"/>
        <w:rPr>
          <w:rFonts w:ascii="Arial" w:eastAsia="Arial" w:hAnsi="Arial" w:cs="Arial"/>
          <w:color w:val="010000"/>
          <w:sz w:val="20"/>
          <w:szCs w:val="20"/>
        </w:rPr>
      </w:pPr>
      <w:r w:rsidRPr="00863D8E">
        <w:rPr>
          <w:rFonts w:ascii="Arial" w:hAnsi="Arial" w:cs="Arial"/>
          <w:color w:val="010000"/>
          <w:sz w:val="20"/>
        </w:rPr>
        <w:t xml:space="preserve">Assign the General Manager/Authorized Person to organize units, departments, and individuals to </w:t>
      </w:r>
      <w:r w:rsidRPr="00863D8E">
        <w:rPr>
          <w:rFonts w:ascii="Arial" w:hAnsi="Arial" w:cs="Arial"/>
          <w:color w:val="010000"/>
          <w:sz w:val="20"/>
        </w:rPr>
        <w:lastRenderedPageBreak/>
        <w:t>be responsible for implementing related work in compliance with the regulations of NCB, the State Bank, and the Law.</w:t>
      </w:r>
    </w:p>
    <w:p w14:paraId="577C41D8" w14:textId="77777777" w:rsidR="000F3C4B" w:rsidRPr="00863D8E" w:rsidRDefault="00DB00ED" w:rsidP="00DB00ED">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63D8E">
        <w:rPr>
          <w:rFonts w:ascii="Arial" w:hAnsi="Arial" w:cs="Arial"/>
          <w:color w:val="010000"/>
          <w:sz w:val="20"/>
        </w:rPr>
        <w:t>‎‎Article 3. This Resolution takes effect from February 29, 2024. Within the scope of their powers and responsibilities, relevant units and individuals are responsible for organizing the implementation of this Resolution.</w:t>
      </w:r>
    </w:p>
    <w:sectPr w:rsidR="000F3C4B" w:rsidRPr="00863D8E" w:rsidSect="00DB00E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449"/>
    <w:multiLevelType w:val="multilevel"/>
    <w:tmpl w:val="3CBA35A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39F6B59"/>
    <w:multiLevelType w:val="multilevel"/>
    <w:tmpl w:val="E3B2D7D2"/>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49C5D70"/>
    <w:multiLevelType w:val="multilevel"/>
    <w:tmpl w:val="CB5E48B4"/>
    <w:lvl w:ilvl="0">
      <w:start w:val="1"/>
      <w:numFmt w:val="decimal"/>
      <w:lvlText w:val="2.%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4B"/>
    <w:rsid w:val="000F3C4B"/>
    <w:rsid w:val="00863D8E"/>
    <w:rsid w:val="00DB00ED"/>
    <w:rsid w:val="00F51A1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41C7"/>
  <w15:docId w15:val="{22842C79-C3C3-4F69-811E-DB2F91D8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sz w:val="13"/>
      <w:szCs w:val="13"/>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59"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180" w:lineRule="auto"/>
      <w:ind w:firstLine="260"/>
    </w:pPr>
    <w:rPr>
      <w:rFonts w:ascii="Arial" w:eastAsia="Arial" w:hAnsi="Arial" w:cs="Arial"/>
      <w:b/>
      <w:bCs/>
      <w:sz w:val="13"/>
      <w:szCs w:val="13"/>
    </w:rPr>
  </w:style>
  <w:style w:type="paragraph" w:customStyle="1" w:styleId="Tiu10">
    <w:name w:val="Tiêu đề #1"/>
    <w:basedOn w:val="Normal"/>
    <w:link w:val="Tiu1"/>
    <w:pPr>
      <w:spacing w:line="264" w:lineRule="auto"/>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N60P6YFBieal8rxfr4DHNX3Wg==">CgMxLjAyCGguZ2pkZ3hzOAByITFwQzJuM0hFeWV2U1RXWlQ2dXZEOGozZ05iZHRBX05pSQ==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2613</Characters>
  <Application>Microsoft Office Word</Application>
  <DocSecurity>0</DocSecurity>
  <Lines>40</Lines>
  <Paragraphs>17</Paragraphs>
  <ScaleCrop>false</ScaleCrop>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2024-03-05T03:30:00Z</dcterms:created>
  <dcterms:modified xsi:type="dcterms:W3CDTF">2024-03-06T07:15:00Z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ed9c3e4d4323aee543ef4f31698945b35c70a543082150b5126d7493f8b49fa4</vt:lpwstr>
  </property>
</Properties>
</file>