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2DA8" w:rsidRPr="00E23576" w:rsidRDefault="00B521E3" w:rsidP="00B521E3">
      <w:pPr>
        <w:keepNext/>
        <w:pBdr>
          <w:top w:val="nil"/>
          <w:left w:val="nil"/>
          <w:bottom w:val="nil"/>
          <w:right w:val="nil"/>
          <w:between w:val="nil"/>
        </w:pBdr>
        <w:tabs>
          <w:tab w:val="left" w:pos="426"/>
          <w:tab w:val="left" w:pos="5603"/>
        </w:tabs>
        <w:spacing w:after="120" w:line="360" w:lineRule="auto"/>
        <w:jc w:val="both"/>
        <w:rPr>
          <w:rFonts w:ascii="Arial" w:eastAsia="Arial" w:hAnsi="Arial" w:cs="Arial"/>
          <w:b/>
          <w:color w:val="010000"/>
          <w:sz w:val="20"/>
          <w:szCs w:val="20"/>
        </w:rPr>
      </w:pPr>
      <w:r w:rsidRPr="00E23576">
        <w:rPr>
          <w:rFonts w:ascii="Arial" w:hAnsi="Arial" w:cs="Arial"/>
          <w:b/>
          <w:color w:val="010000"/>
          <w:sz w:val="20"/>
        </w:rPr>
        <w:t>QNW: Board Resolution</w:t>
      </w:r>
    </w:p>
    <w:p w14:paraId="00000002" w14:textId="292EB1BD" w:rsidR="00F42DA8" w:rsidRPr="00E23576" w:rsidRDefault="00B521E3" w:rsidP="00B521E3">
      <w:pPr>
        <w:keepNext/>
        <w:pBdr>
          <w:top w:val="nil"/>
          <w:left w:val="nil"/>
          <w:bottom w:val="nil"/>
          <w:right w:val="nil"/>
          <w:between w:val="nil"/>
        </w:pBdr>
        <w:tabs>
          <w:tab w:val="left" w:pos="426"/>
          <w:tab w:val="left" w:pos="5603"/>
        </w:tabs>
        <w:spacing w:after="120" w:line="360" w:lineRule="auto"/>
        <w:jc w:val="both"/>
        <w:rPr>
          <w:rFonts w:ascii="Arial" w:eastAsia="Arial" w:hAnsi="Arial" w:cs="Arial"/>
          <w:color w:val="010000"/>
          <w:sz w:val="20"/>
          <w:szCs w:val="20"/>
        </w:rPr>
      </w:pPr>
      <w:r w:rsidRPr="00E23576">
        <w:rPr>
          <w:rFonts w:ascii="Arial" w:hAnsi="Arial" w:cs="Arial"/>
          <w:color w:val="010000"/>
          <w:sz w:val="20"/>
        </w:rPr>
        <w:t>On March 01, 2024, Quang Ngai Water Supply Sewerage and Construction Joint Stock Company announced Resolution No. 06/NQ-HDQT on the Plan to hold the Annual General Meeting of Shareholders 2024 as follows:</w:t>
      </w:r>
    </w:p>
    <w:p w14:paraId="00000003" w14:textId="77777777" w:rsidR="00F42DA8" w:rsidRPr="00E23576" w:rsidRDefault="00B521E3" w:rsidP="00B521E3">
      <w:pPr>
        <w:keepNext/>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23576">
        <w:rPr>
          <w:rFonts w:ascii="Arial" w:hAnsi="Arial" w:cs="Arial"/>
          <w:color w:val="010000"/>
          <w:sz w:val="20"/>
        </w:rPr>
        <w:t>Article 1. Approve the plan to organize the Annual General Meeting of Shareholders 2024 as follows:</w:t>
      </w:r>
    </w:p>
    <w:p w14:paraId="00000004" w14:textId="77777777" w:rsidR="00F42DA8" w:rsidRPr="00E23576" w:rsidRDefault="00B521E3" w:rsidP="00B521E3">
      <w:pPr>
        <w:numPr>
          <w:ilvl w:val="0"/>
          <w:numId w:val="1"/>
        </w:numPr>
        <w:pBdr>
          <w:top w:val="nil"/>
          <w:left w:val="nil"/>
          <w:bottom w:val="nil"/>
          <w:right w:val="nil"/>
          <w:between w:val="nil"/>
        </w:pBdr>
        <w:tabs>
          <w:tab w:val="left" w:pos="426"/>
          <w:tab w:val="left" w:pos="1249"/>
        </w:tabs>
        <w:spacing w:after="120" w:line="360" w:lineRule="auto"/>
        <w:jc w:val="both"/>
        <w:rPr>
          <w:rFonts w:ascii="Arial" w:eastAsia="Arial" w:hAnsi="Arial" w:cs="Arial"/>
          <w:color w:val="010000"/>
          <w:sz w:val="20"/>
          <w:szCs w:val="20"/>
        </w:rPr>
      </w:pPr>
      <w:r w:rsidRPr="00E23576">
        <w:rPr>
          <w:rFonts w:ascii="Arial" w:hAnsi="Arial" w:cs="Arial"/>
          <w:color w:val="010000"/>
          <w:sz w:val="20"/>
        </w:rPr>
        <w:t>The record date to exercise the rights to attend the Annual General Meeting of Shareholders 2024: March 25, 2024.</w:t>
      </w:r>
    </w:p>
    <w:p w14:paraId="00000005" w14:textId="77777777" w:rsidR="00F42DA8" w:rsidRPr="00E23576" w:rsidRDefault="00B521E3" w:rsidP="00B521E3">
      <w:pPr>
        <w:keepNext/>
        <w:numPr>
          <w:ilvl w:val="0"/>
          <w:numId w:val="1"/>
        </w:numPr>
        <w:pBdr>
          <w:top w:val="nil"/>
          <w:left w:val="nil"/>
          <w:bottom w:val="nil"/>
          <w:right w:val="nil"/>
          <w:between w:val="nil"/>
        </w:pBdr>
        <w:tabs>
          <w:tab w:val="left" w:pos="426"/>
          <w:tab w:val="left" w:pos="1238"/>
        </w:tabs>
        <w:spacing w:after="120" w:line="360" w:lineRule="auto"/>
        <w:jc w:val="both"/>
        <w:rPr>
          <w:rFonts w:ascii="Arial" w:eastAsia="Arial" w:hAnsi="Arial" w:cs="Arial"/>
          <w:color w:val="010000"/>
          <w:sz w:val="20"/>
          <w:szCs w:val="20"/>
        </w:rPr>
      </w:pPr>
      <w:r w:rsidRPr="00E23576">
        <w:rPr>
          <w:rFonts w:ascii="Arial" w:hAnsi="Arial" w:cs="Arial"/>
          <w:color w:val="010000"/>
          <w:sz w:val="20"/>
        </w:rPr>
        <w:t>Specific contents:</w:t>
      </w:r>
    </w:p>
    <w:p w14:paraId="00000006" w14:textId="77777777" w:rsidR="00F42DA8" w:rsidRPr="00E23576" w:rsidRDefault="00B521E3" w:rsidP="00B521E3">
      <w:pPr>
        <w:numPr>
          <w:ilvl w:val="0"/>
          <w:numId w:val="2"/>
        </w:numPr>
        <w:pBdr>
          <w:top w:val="nil"/>
          <w:left w:val="nil"/>
          <w:bottom w:val="nil"/>
          <w:right w:val="nil"/>
          <w:between w:val="nil"/>
        </w:pBdr>
        <w:tabs>
          <w:tab w:val="left" w:pos="426"/>
          <w:tab w:val="left" w:pos="1242"/>
        </w:tabs>
        <w:spacing w:after="120" w:line="360" w:lineRule="auto"/>
        <w:jc w:val="both"/>
        <w:rPr>
          <w:rFonts w:ascii="Arial" w:eastAsia="Arial" w:hAnsi="Arial" w:cs="Arial"/>
          <w:color w:val="010000"/>
          <w:sz w:val="20"/>
          <w:szCs w:val="20"/>
        </w:rPr>
      </w:pPr>
      <w:r w:rsidRPr="00E23576">
        <w:rPr>
          <w:rFonts w:ascii="Arial" w:hAnsi="Arial" w:cs="Arial"/>
          <w:color w:val="010000"/>
          <w:sz w:val="20"/>
        </w:rPr>
        <w:t>Exercise rate: 1 share - 1 vote right</w:t>
      </w:r>
    </w:p>
    <w:p w14:paraId="00000007" w14:textId="77777777" w:rsidR="00F42DA8" w:rsidRPr="00E23576" w:rsidRDefault="00B521E3" w:rsidP="00B521E3">
      <w:pPr>
        <w:numPr>
          <w:ilvl w:val="0"/>
          <w:numId w:val="2"/>
        </w:numPr>
        <w:pBdr>
          <w:top w:val="nil"/>
          <w:left w:val="nil"/>
          <w:bottom w:val="nil"/>
          <w:right w:val="nil"/>
          <w:between w:val="nil"/>
        </w:pBdr>
        <w:tabs>
          <w:tab w:val="left" w:pos="426"/>
          <w:tab w:val="left" w:pos="1287"/>
        </w:tabs>
        <w:spacing w:after="120" w:line="360" w:lineRule="auto"/>
        <w:jc w:val="both"/>
        <w:rPr>
          <w:rFonts w:ascii="Arial" w:eastAsia="Arial" w:hAnsi="Arial" w:cs="Arial"/>
          <w:color w:val="010000"/>
          <w:sz w:val="20"/>
          <w:szCs w:val="20"/>
        </w:rPr>
      </w:pPr>
      <w:r w:rsidRPr="00E23576">
        <w:rPr>
          <w:rFonts w:ascii="Arial" w:hAnsi="Arial" w:cs="Arial"/>
          <w:color w:val="010000"/>
          <w:sz w:val="20"/>
        </w:rPr>
        <w:t>Implementation time: Expected at the end of April 2024 (from April 22, 2024 to April 30, 2024).</w:t>
      </w:r>
    </w:p>
    <w:p w14:paraId="00000008" w14:textId="77777777" w:rsidR="00F42DA8" w:rsidRPr="00E23576" w:rsidRDefault="00B521E3" w:rsidP="00B521E3">
      <w:pPr>
        <w:numPr>
          <w:ilvl w:val="0"/>
          <w:numId w:val="2"/>
        </w:numPr>
        <w:pBdr>
          <w:top w:val="nil"/>
          <w:left w:val="nil"/>
          <w:bottom w:val="nil"/>
          <w:right w:val="nil"/>
          <w:between w:val="nil"/>
        </w:pBdr>
        <w:tabs>
          <w:tab w:val="left" w:pos="426"/>
          <w:tab w:val="left" w:pos="1287"/>
        </w:tabs>
        <w:spacing w:after="120" w:line="360" w:lineRule="auto"/>
        <w:jc w:val="both"/>
        <w:rPr>
          <w:rFonts w:ascii="Arial" w:eastAsia="Arial" w:hAnsi="Arial" w:cs="Arial"/>
          <w:color w:val="010000"/>
          <w:sz w:val="20"/>
          <w:szCs w:val="20"/>
        </w:rPr>
      </w:pPr>
      <w:r w:rsidRPr="00E23576">
        <w:rPr>
          <w:rFonts w:ascii="Arial" w:hAnsi="Arial" w:cs="Arial"/>
          <w:color w:val="010000"/>
          <w:sz w:val="20"/>
        </w:rPr>
        <w:t>Implementation venue: The headquarters of Quang Ngai Water Supply Sewerage and Construction Joint Stock Company - No. 17 Phan Chu Trinh Street, Nguyen Nghiem Ward, Quang Ngai City.</w:t>
      </w:r>
    </w:p>
    <w:p w14:paraId="00000009" w14:textId="77777777" w:rsidR="00F42DA8" w:rsidRPr="00E23576" w:rsidRDefault="00B521E3" w:rsidP="00B521E3">
      <w:pPr>
        <w:keepNext/>
        <w:numPr>
          <w:ilvl w:val="0"/>
          <w:numId w:val="1"/>
        </w:numPr>
        <w:pBdr>
          <w:top w:val="nil"/>
          <w:left w:val="nil"/>
          <w:bottom w:val="nil"/>
          <w:right w:val="nil"/>
          <w:between w:val="nil"/>
        </w:pBdr>
        <w:tabs>
          <w:tab w:val="left" w:pos="426"/>
          <w:tab w:val="left" w:pos="1238"/>
        </w:tabs>
        <w:spacing w:after="120" w:line="360" w:lineRule="auto"/>
        <w:jc w:val="both"/>
        <w:rPr>
          <w:rFonts w:ascii="Arial" w:eastAsia="Arial" w:hAnsi="Arial" w:cs="Arial"/>
          <w:color w:val="010000"/>
          <w:sz w:val="20"/>
          <w:szCs w:val="20"/>
        </w:rPr>
      </w:pPr>
      <w:r w:rsidRPr="00E23576">
        <w:rPr>
          <w:rFonts w:ascii="Arial" w:hAnsi="Arial" w:cs="Arial"/>
          <w:color w:val="010000"/>
          <w:sz w:val="20"/>
        </w:rPr>
        <w:t>Main contents submitted to the General Meeting of Shareholders for approval:</w:t>
      </w:r>
    </w:p>
    <w:p w14:paraId="0000000A" w14:textId="77777777" w:rsidR="00F42DA8" w:rsidRPr="00E23576" w:rsidRDefault="00B521E3" w:rsidP="00B521E3">
      <w:pPr>
        <w:numPr>
          <w:ilvl w:val="0"/>
          <w:numId w:val="2"/>
        </w:numPr>
        <w:pBdr>
          <w:top w:val="nil"/>
          <w:left w:val="nil"/>
          <w:bottom w:val="nil"/>
          <w:right w:val="nil"/>
          <w:between w:val="nil"/>
        </w:pBdr>
        <w:tabs>
          <w:tab w:val="left" w:pos="426"/>
          <w:tab w:val="left" w:pos="1247"/>
        </w:tabs>
        <w:spacing w:after="120" w:line="360" w:lineRule="auto"/>
        <w:jc w:val="both"/>
        <w:rPr>
          <w:rFonts w:ascii="Arial" w:eastAsia="Arial" w:hAnsi="Arial" w:cs="Arial"/>
          <w:color w:val="010000"/>
          <w:sz w:val="20"/>
          <w:szCs w:val="20"/>
        </w:rPr>
      </w:pPr>
      <w:r w:rsidRPr="00E23576">
        <w:rPr>
          <w:rFonts w:ascii="Arial" w:hAnsi="Arial" w:cs="Arial"/>
          <w:color w:val="010000"/>
          <w:sz w:val="20"/>
        </w:rPr>
        <w:t>The Report on the activities of the Board of Directors in 2023 and operating plan for 2024.</w:t>
      </w:r>
    </w:p>
    <w:p w14:paraId="0000000B" w14:textId="77777777" w:rsidR="00F42DA8" w:rsidRPr="00E23576" w:rsidRDefault="00B521E3" w:rsidP="00B521E3">
      <w:pPr>
        <w:numPr>
          <w:ilvl w:val="0"/>
          <w:numId w:val="2"/>
        </w:numPr>
        <w:pBdr>
          <w:top w:val="nil"/>
          <w:left w:val="nil"/>
          <w:bottom w:val="nil"/>
          <w:right w:val="nil"/>
          <w:between w:val="nil"/>
        </w:pBdr>
        <w:tabs>
          <w:tab w:val="left" w:pos="426"/>
          <w:tab w:val="left" w:pos="1247"/>
        </w:tabs>
        <w:spacing w:after="120" w:line="360" w:lineRule="auto"/>
        <w:jc w:val="both"/>
        <w:rPr>
          <w:rFonts w:ascii="Arial" w:eastAsia="Arial" w:hAnsi="Arial" w:cs="Arial"/>
          <w:color w:val="010000"/>
          <w:sz w:val="20"/>
          <w:szCs w:val="20"/>
        </w:rPr>
      </w:pPr>
      <w:r w:rsidRPr="00E23576">
        <w:rPr>
          <w:rFonts w:ascii="Arial" w:hAnsi="Arial" w:cs="Arial"/>
          <w:color w:val="010000"/>
          <w:sz w:val="20"/>
        </w:rPr>
        <w:t>Report on the production and business activities results in 2023 and the production and business plan in 2024.</w:t>
      </w:r>
    </w:p>
    <w:p w14:paraId="0000000C" w14:textId="0C245A85" w:rsidR="00F42DA8" w:rsidRPr="00E23576" w:rsidRDefault="00B521E3" w:rsidP="00B521E3">
      <w:pPr>
        <w:numPr>
          <w:ilvl w:val="0"/>
          <w:numId w:val="2"/>
        </w:numPr>
        <w:pBdr>
          <w:top w:val="nil"/>
          <w:left w:val="nil"/>
          <w:bottom w:val="nil"/>
          <w:right w:val="nil"/>
          <w:between w:val="nil"/>
        </w:pBdr>
        <w:tabs>
          <w:tab w:val="left" w:pos="426"/>
          <w:tab w:val="left" w:pos="1247"/>
        </w:tabs>
        <w:spacing w:after="120" w:line="360" w:lineRule="auto"/>
        <w:jc w:val="both"/>
        <w:rPr>
          <w:rFonts w:ascii="Arial" w:eastAsia="Arial" w:hAnsi="Arial" w:cs="Arial"/>
          <w:color w:val="010000"/>
          <w:sz w:val="20"/>
          <w:szCs w:val="20"/>
        </w:rPr>
      </w:pPr>
      <w:r w:rsidRPr="00E23576">
        <w:rPr>
          <w:rFonts w:ascii="Arial" w:hAnsi="Arial" w:cs="Arial"/>
          <w:color w:val="010000"/>
          <w:sz w:val="20"/>
        </w:rPr>
        <w:t>Report</w:t>
      </w:r>
      <w:r w:rsidR="00E23576" w:rsidRPr="00E23576">
        <w:rPr>
          <w:rFonts w:ascii="Arial" w:hAnsi="Arial" w:cs="Arial"/>
          <w:color w:val="010000"/>
          <w:sz w:val="20"/>
        </w:rPr>
        <w:t xml:space="preserve"> </w:t>
      </w:r>
      <w:r w:rsidR="00E23576" w:rsidRPr="00E23576">
        <w:rPr>
          <w:rFonts w:ascii="Arial" w:hAnsi="Arial" w:cs="Arial"/>
          <w:color w:val="010000"/>
          <w:sz w:val="20"/>
        </w:rPr>
        <w:t>of the Supervisory Board</w:t>
      </w:r>
      <w:r w:rsidRPr="00E23576">
        <w:rPr>
          <w:rFonts w:ascii="Arial" w:hAnsi="Arial" w:cs="Arial"/>
          <w:color w:val="010000"/>
          <w:sz w:val="20"/>
        </w:rPr>
        <w:t xml:space="preserve"> on activities results in 2023 and the operation plan for 2024.</w:t>
      </w:r>
    </w:p>
    <w:p w14:paraId="0000000D" w14:textId="40384487" w:rsidR="00F42DA8" w:rsidRPr="00E23576" w:rsidRDefault="00E23576" w:rsidP="00B521E3">
      <w:pPr>
        <w:numPr>
          <w:ilvl w:val="0"/>
          <w:numId w:val="2"/>
        </w:numPr>
        <w:pBdr>
          <w:top w:val="nil"/>
          <w:left w:val="nil"/>
          <w:bottom w:val="nil"/>
          <w:right w:val="nil"/>
          <w:between w:val="nil"/>
        </w:pBdr>
        <w:tabs>
          <w:tab w:val="left" w:pos="426"/>
          <w:tab w:val="left" w:pos="1252"/>
        </w:tabs>
        <w:spacing w:after="120" w:line="360" w:lineRule="auto"/>
        <w:jc w:val="both"/>
        <w:rPr>
          <w:rFonts w:ascii="Arial" w:eastAsia="Arial" w:hAnsi="Arial" w:cs="Arial"/>
          <w:color w:val="010000"/>
          <w:sz w:val="20"/>
          <w:szCs w:val="20"/>
        </w:rPr>
      </w:pPr>
      <w:r w:rsidRPr="00E23576">
        <w:rPr>
          <w:rFonts w:ascii="Arial" w:hAnsi="Arial" w:cs="Arial"/>
          <w:color w:val="010000"/>
          <w:sz w:val="20"/>
        </w:rPr>
        <w:t>Proposal on approving</w:t>
      </w:r>
      <w:r w:rsidR="00B521E3" w:rsidRPr="00E23576">
        <w:rPr>
          <w:rFonts w:ascii="Arial" w:hAnsi="Arial" w:cs="Arial"/>
          <w:color w:val="010000"/>
          <w:sz w:val="20"/>
        </w:rPr>
        <w:t xml:space="preserve"> the Audited </w:t>
      </w:r>
      <w:r w:rsidRPr="00E23576">
        <w:rPr>
          <w:rFonts w:ascii="Arial" w:hAnsi="Arial" w:cs="Arial"/>
          <w:color w:val="010000"/>
          <w:sz w:val="20"/>
        </w:rPr>
        <w:t>Financial Statements 20</w:t>
      </w:r>
      <w:r w:rsidR="00B521E3" w:rsidRPr="00E23576">
        <w:rPr>
          <w:rFonts w:ascii="Arial" w:hAnsi="Arial" w:cs="Arial"/>
          <w:color w:val="010000"/>
          <w:sz w:val="20"/>
        </w:rPr>
        <w:t>23.</w:t>
      </w:r>
    </w:p>
    <w:p w14:paraId="0000000E" w14:textId="7B7BD3E2" w:rsidR="00F42DA8" w:rsidRPr="00E23576" w:rsidRDefault="00B521E3" w:rsidP="00B521E3">
      <w:pPr>
        <w:numPr>
          <w:ilvl w:val="0"/>
          <w:numId w:val="2"/>
        </w:numPr>
        <w:pBdr>
          <w:top w:val="nil"/>
          <w:left w:val="nil"/>
          <w:bottom w:val="nil"/>
          <w:right w:val="nil"/>
          <w:between w:val="nil"/>
        </w:pBdr>
        <w:tabs>
          <w:tab w:val="left" w:pos="426"/>
          <w:tab w:val="left" w:pos="1252"/>
        </w:tabs>
        <w:spacing w:after="120" w:line="360" w:lineRule="auto"/>
        <w:jc w:val="both"/>
        <w:rPr>
          <w:rFonts w:ascii="Arial" w:eastAsia="Arial" w:hAnsi="Arial" w:cs="Arial"/>
          <w:color w:val="010000"/>
          <w:sz w:val="20"/>
          <w:szCs w:val="20"/>
        </w:rPr>
      </w:pPr>
      <w:r w:rsidRPr="00E23576">
        <w:rPr>
          <w:rFonts w:ascii="Arial" w:hAnsi="Arial" w:cs="Arial"/>
          <w:color w:val="010000"/>
          <w:sz w:val="20"/>
        </w:rPr>
        <w:t xml:space="preserve">Proposal </w:t>
      </w:r>
      <w:r w:rsidR="00E23576" w:rsidRPr="00E23576">
        <w:rPr>
          <w:rFonts w:ascii="Arial" w:hAnsi="Arial" w:cs="Arial"/>
          <w:color w:val="010000"/>
          <w:sz w:val="20"/>
        </w:rPr>
        <w:t>on the</w:t>
      </w:r>
      <w:r w:rsidRPr="00E23576">
        <w:rPr>
          <w:rFonts w:ascii="Arial" w:hAnsi="Arial" w:cs="Arial"/>
          <w:color w:val="010000"/>
          <w:sz w:val="20"/>
        </w:rPr>
        <w:t xml:space="preserve"> approval of the profit distribution plan for 2023 and the plan for 2024.</w:t>
      </w:r>
    </w:p>
    <w:p w14:paraId="0000000F" w14:textId="77777777" w:rsidR="00F42DA8" w:rsidRPr="00E23576" w:rsidRDefault="00B521E3" w:rsidP="00B521E3">
      <w:pPr>
        <w:numPr>
          <w:ilvl w:val="0"/>
          <w:numId w:val="2"/>
        </w:numPr>
        <w:pBdr>
          <w:top w:val="nil"/>
          <w:left w:val="nil"/>
          <w:bottom w:val="nil"/>
          <w:right w:val="nil"/>
          <w:between w:val="nil"/>
        </w:pBdr>
        <w:tabs>
          <w:tab w:val="left" w:pos="426"/>
          <w:tab w:val="left" w:pos="1387"/>
        </w:tabs>
        <w:spacing w:after="120" w:line="360" w:lineRule="auto"/>
        <w:jc w:val="both"/>
        <w:rPr>
          <w:rFonts w:ascii="Arial" w:eastAsia="Arial" w:hAnsi="Arial" w:cs="Arial"/>
          <w:color w:val="010000"/>
          <w:sz w:val="20"/>
          <w:szCs w:val="20"/>
        </w:rPr>
      </w:pPr>
      <w:r w:rsidRPr="00E23576">
        <w:rPr>
          <w:rFonts w:ascii="Arial" w:hAnsi="Arial" w:cs="Arial"/>
          <w:color w:val="010000"/>
          <w:sz w:val="20"/>
        </w:rPr>
        <w:t>Proposal for the payment of salaries and remuneration to the Board of Directors, the Supervisory Board, and the Secretariat in 2023, and the salary and remuneration plan for 2024.</w:t>
      </w:r>
    </w:p>
    <w:p w14:paraId="00000010" w14:textId="768B3361" w:rsidR="00F42DA8" w:rsidRPr="00E23576" w:rsidRDefault="00B521E3" w:rsidP="00B521E3">
      <w:pPr>
        <w:numPr>
          <w:ilvl w:val="0"/>
          <w:numId w:val="2"/>
        </w:numPr>
        <w:pBdr>
          <w:top w:val="nil"/>
          <w:left w:val="nil"/>
          <w:bottom w:val="nil"/>
          <w:right w:val="nil"/>
          <w:between w:val="nil"/>
        </w:pBdr>
        <w:tabs>
          <w:tab w:val="left" w:pos="426"/>
          <w:tab w:val="left" w:pos="1387"/>
        </w:tabs>
        <w:spacing w:after="120" w:line="360" w:lineRule="auto"/>
        <w:jc w:val="both"/>
        <w:rPr>
          <w:rFonts w:ascii="Arial" w:eastAsia="Arial" w:hAnsi="Arial" w:cs="Arial"/>
          <w:color w:val="010000"/>
          <w:sz w:val="20"/>
          <w:szCs w:val="20"/>
        </w:rPr>
      </w:pPr>
      <w:r w:rsidRPr="00E23576">
        <w:rPr>
          <w:rFonts w:ascii="Arial" w:hAnsi="Arial" w:cs="Arial"/>
          <w:color w:val="010000"/>
          <w:sz w:val="20"/>
        </w:rPr>
        <w:t xml:space="preserve">Proposal on the selection of audit company for the </w:t>
      </w:r>
      <w:r w:rsidR="00E23576" w:rsidRPr="00E23576">
        <w:rPr>
          <w:rFonts w:ascii="Arial" w:hAnsi="Arial" w:cs="Arial"/>
          <w:color w:val="010000"/>
          <w:sz w:val="20"/>
        </w:rPr>
        <w:t xml:space="preserve">Financial Statements </w:t>
      </w:r>
      <w:r w:rsidRPr="00E23576">
        <w:rPr>
          <w:rFonts w:ascii="Arial" w:hAnsi="Arial" w:cs="Arial"/>
          <w:color w:val="010000"/>
          <w:sz w:val="20"/>
        </w:rPr>
        <w:t>2024;</w:t>
      </w:r>
    </w:p>
    <w:p w14:paraId="00000011" w14:textId="77777777" w:rsidR="00F42DA8" w:rsidRPr="00E23576" w:rsidRDefault="00B521E3" w:rsidP="00B521E3">
      <w:pPr>
        <w:numPr>
          <w:ilvl w:val="0"/>
          <w:numId w:val="2"/>
        </w:numPr>
        <w:pBdr>
          <w:top w:val="nil"/>
          <w:left w:val="nil"/>
          <w:bottom w:val="nil"/>
          <w:right w:val="nil"/>
          <w:between w:val="nil"/>
        </w:pBdr>
        <w:tabs>
          <w:tab w:val="left" w:pos="426"/>
          <w:tab w:val="left" w:pos="1387"/>
        </w:tabs>
        <w:spacing w:after="120" w:line="360" w:lineRule="auto"/>
        <w:jc w:val="both"/>
        <w:rPr>
          <w:rFonts w:ascii="Arial" w:eastAsia="Arial" w:hAnsi="Arial" w:cs="Arial"/>
          <w:color w:val="010000"/>
          <w:sz w:val="20"/>
          <w:szCs w:val="20"/>
        </w:rPr>
      </w:pPr>
      <w:r w:rsidRPr="00E23576">
        <w:rPr>
          <w:rFonts w:ascii="Arial" w:hAnsi="Arial" w:cs="Arial"/>
          <w:color w:val="010000"/>
          <w:sz w:val="20"/>
        </w:rPr>
        <w:t xml:space="preserve">Other contents under the authority of the General Meeting of Shareholders. </w:t>
      </w:r>
    </w:p>
    <w:p w14:paraId="00000012" w14:textId="2EB61195" w:rsidR="00F42DA8" w:rsidRPr="00E23576" w:rsidRDefault="00B521E3" w:rsidP="00B521E3">
      <w:pPr>
        <w:pBdr>
          <w:top w:val="nil"/>
          <w:left w:val="nil"/>
          <w:bottom w:val="nil"/>
          <w:right w:val="nil"/>
          <w:between w:val="nil"/>
        </w:pBdr>
        <w:tabs>
          <w:tab w:val="left" w:pos="426"/>
          <w:tab w:val="left" w:pos="1387"/>
        </w:tabs>
        <w:spacing w:after="120" w:line="360" w:lineRule="auto"/>
        <w:jc w:val="both"/>
        <w:rPr>
          <w:rFonts w:ascii="Arial" w:eastAsia="Arial" w:hAnsi="Arial" w:cs="Arial"/>
          <w:color w:val="010000"/>
          <w:sz w:val="20"/>
          <w:szCs w:val="20"/>
        </w:rPr>
      </w:pPr>
      <w:r w:rsidRPr="00E23576">
        <w:rPr>
          <w:rFonts w:ascii="Arial" w:hAnsi="Arial" w:cs="Arial"/>
          <w:color w:val="010000"/>
          <w:sz w:val="20"/>
        </w:rPr>
        <w:t>‎‎Article 2. The Chair of the Board of Directors, on behalf of the Board of Directors:</w:t>
      </w:r>
    </w:p>
    <w:p w14:paraId="00000013" w14:textId="77777777" w:rsidR="00F42DA8" w:rsidRPr="00E23576" w:rsidRDefault="00B521E3" w:rsidP="00B521E3">
      <w:pPr>
        <w:numPr>
          <w:ilvl w:val="0"/>
          <w:numId w:val="2"/>
        </w:numPr>
        <w:pBdr>
          <w:top w:val="nil"/>
          <w:left w:val="nil"/>
          <w:bottom w:val="nil"/>
          <w:right w:val="nil"/>
          <w:between w:val="nil"/>
        </w:pBdr>
        <w:tabs>
          <w:tab w:val="left" w:pos="426"/>
          <w:tab w:val="left" w:pos="1257"/>
        </w:tabs>
        <w:spacing w:after="120" w:line="360" w:lineRule="auto"/>
        <w:jc w:val="both"/>
        <w:rPr>
          <w:rFonts w:ascii="Arial" w:eastAsia="Arial" w:hAnsi="Arial" w:cs="Arial"/>
          <w:color w:val="010000"/>
          <w:sz w:val="20"/>
          <w:szCs w:val="20"/>
        </w:rPr>
      </w:pPr>
      <w:bookmarkStart w:id="0" w:name="_heading=h.gjdgxs"/>
      <w:bookmarkEnd w:id="0"/>
      <w:r w:rsidRPr="00E23576">
        <w:rPr>
          <w:rFonts w:ascii="Arial" w:hAnsi="Arial" w:cs="Arial"/>
          <w:color w:val="010000"/>
          <w:sz w:val="20"/>
        </w:rPr>
        <w:t>Promulgate Regulations and Provisions related to the General Meeting of Shareholders, and provide guidance for the operation of the Organizing Committee of the General Meeting.</w:t>
      </w:r>
    </w:p>
    <w:p w14:paraId="00000014" w14:textId="77777777" w:rsidR="00F42DA8" w:rsidRPr="00E23576" w:rsidRDefault="00B521E3" w:rsidP="00B521E3">
      <w:pPr>
        <w:numPr>
          <w:ilvl w:val="0"/>
          <w:numId w:val="2"/>
        </w:numPr>
        <w:pBdr>
          <w:top w:val="nil"/>
          <w:left w:val="nil"/>
          <w:bottom w:val="nil"/>
          <w:right w:val="nil"/>
          <w:between w:val="nil"/>
        </w:pBdr>
        <w:tabs>
          <w:tab w:val="left" w:pos="426"/>
          <w:tab w:val="left" w:pos="1257"/>
        </w:tabs>
        <w:spacing w:after="120" w:line="360" w:lineRule="auto"/>
        <w:jc w:val="both"/>
        <w:rPr>
          <w:rFonts w:ascii="Arial" w:eastAsia="Arial" w:hAnsi="Arial" w:cs="Arial"/>
          <w:color w:val="010000"/>
          <w:sz w:val="20"/>
          <w:szCs w:val="20"/>
        </w:rPr>
      </w:pPr>
      <w:r w:rsidRPr="00E23576">
        <w:rPr>
          <w:rFonts w:ascii="Arial" w:hAnsi="Arial" w:cs="Arial"/>
          <w:color w:val="010000"/>
          <w:sz w:val="20"/>
        </w:rPr>
        <w:t>Determine the date for holding the General Meeting of Shareholders, and promulgate relevant Contents regarding the Board of Directors and the documents for the Annual General Meeting.</w:t>
      </w:r>
    </w:p>
    <w:p w14:paraId="00000015" w14:textId="18E64E8F" w:rsidR="00F42DA8" w:rsidRPr="00E23576" w:rsidRDefault="00B521E3" w:rsidP="00B521E3">
      <w:pPr>
        <w:numPr>
          <w:ilvl w:val="0"/>
          <w:numId w:val="2"/>
        </w:numPr>
        <w:pBdr>
          <w:top w:val="nil"/>
          <w:left w:val="nil"/>
          <w:bottom w:val="nil"/>
          <w:right w:val="nil"/>
          <w:between w:val="nil"/>
        </w:pBdr>
        <w:tabs>
          <w:tab w:val="left" w:pos="426"/>
          <w:tab w:val="left" w:pos="1257"/>
        </w:tabs>
        <w:spacing w:after="120" w:line="360" w:lineRule="auto"/>
        <w:jc w:val="both"/>
        <w:rPr>
          <w:rFonts w:ascii="Arial" w:eastAsia="Arial" w:hAnsi="Arial" w:cs="Arial"/>
          <w:color w:val="010000"/>
          <w:sz w:val="20"/>
          <w:szCs w:val="20"/>
        </w:rPr>
      </w:pPr>
      <w:r w:rsidRPr="00E23576">
        <w:rPr>
          <w:rFonts w:ascii="Arial" w:hAnsi="Arial" w:cs="Arial"/>
          <w:color w:val="010000"/>
          <w:sz w:val="20"/>
        </w:rPr>
        <w:t xml:space="preserve">Implement Registration procedure for the record date for </w:t>
      </w:r>
      <w:r w:rsidR="00E23576" w:rsidRPr="00E23576">
        <w:rPr>
          <w:rFonts w:ascii="Arial" w:hAnsi="Arial" w:cs="Arial"/>
          <w:color w:val="010000"/>
          <w:sz w:val="20"/>
        </w:rPr>
        <w:t xml:space="preserve">the </w:t>
      </w:r>
      <w:r w:rsidRPr="00E23576">
        <w:rPr>
          <w:rFonts w:ascii="Arial" w:hAnsi="Arial" w:cs="Arial"/>
          <w:color w:val="010000"/>
          <w:sz w:val="20"/>
        </w:rPr>
        <w:t>list of shareholders with relevant State management agencies and announce the plan of the Annual General Meeting 2024.</w:t>
      </w:r>
    </w:p>
    <w:p w14:paraId="00000016" w14:textId="54498F20" w:rsidR="00F42DA8" w:rsidRPr="00E23576" w:rsidRDefault="00B521E3" w:rsidP="00B521E3">
      <w:pPr>
        <w:numPr>
          <w:ilvl w:val="0"/>
          <w:numId w:val="2"/>
        </w:numPr>
        <w:pBdr>
          <w:top w:val="nil"/>
          <w:left w:val="nil"/>
          <w:bottom w:val="nil"/>
          <w:right w:val="nil"/>
          <w:between w:val="nil"/>
        </w:pBdr>
        <w:tabs>
          <w:tab w:val="left" w:pos="426"/>
          <w:tab w:val="left" w:pos="1257"/>
        </w:tabs>
        <w:spacing w:after="120" w:line="360" w:lineRule="auto"/>
        <w:jc w:val="both"/>
        <w:rPr>
          <w:rFonts w:ascii="Arial" w:eastAsia="Arial" w:hAnsi="Arial" w:cs="Arial"/>
          <w:color w:val="010000"/>
          <w:sz w:val="20"/>
          <w:szCs w:val="20"/>
        </w:rPr>
      </w:pPr>
      <w:r w:rsidRPr="00E23576">
        <w:rPr>
          <w:rFonts w:ascii="Arial" w:hAnsi="Arial" w:cs="Arial"/>
          <w:color w:val="010000"/>
          <w:sz w:val="20"/>
        </w:rPr>
        <w:t xml:space="preserve">Establish and supervise the implementation of the plan to organize the Annual General Meeting in 2024 to prepare for the organization, draft Meeting documents and invite shareholders to attend the </w:t>
      </w:r>
      <w:r w:rsidRPr="00E23576">
        <w:rPr>
          <w:rFonts w:ascii="Arial" w:hAnsi="Arial" w:cs="Arial"/>
          <w:color w:val="010000"/>
          <w:sz w:val="20"/>
        </w:rPr>
        <w:lastRenderedPageBreak/>
        <w:t>Meeting with provisions of the current laws and the Company's Charter.</w:t>
      </w:r>
    </w:p>
    <w:p w14:paraId="00000017" w14:textId="77777777" w:rsidR="00F42DA8" w:rsidRPr="00E23576" w:rsidRDefault="00B521E3" w:rsidP="00B521E3">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E23576">
        <w:rPr>
          <w:rFonts w:ascii="Arial" w:hAnsi="Arial" w:cs="Arial"/>
          <w:color w:val="010000"/>
          <w:sz w:val="20"/>
        </w:rPr>
        <w:t>‎‎Article 3. This Resolution takes effect from the date of its signing. Members of the Board of Directors, the Supervisory Board, the Board of Managers, are responsible for implementing this Resolution.</w:t>
      </w:r>
    </w:p>
    <w:sectPr w:rsidR="00F42DA8" w:rsidRPr="00E23576" w:rsidSect="00B521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314E3"/>
    <w:multiLevelType w:val="multilevel"/>
    <w:tmpl w:val="FA0685D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7710CE3"/>
    <w:multiLevelType w:val="multilevel"/>
    <w:tmpl w:val="24C623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A8"/>
    <w:rsid w:val="00B521E3"/>
    <w:rsid w:val="00E23576"/>
    <w:rsid w:val="00F42D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3699"/>
  <w15:docId w15:val="{E833C77E-A320-4102-BDFA-5747E3E3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color w:val="B26272"/>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singl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i/>
      <w:iCs/>
      <w:color w:val="B26272"/>
      <w:sz w:val="19"/>
      <w:szCs w:val="19"/>
    </w:rPr>
  </w:style>
  <w:style w:type="paragraph" w:customStyle="1" w:styleId="Tiu20">
    <w:name w:val="Tiêu đề #2"/>
    <w:basedOn w:val="Normal"/>
    <w:link w:val="Tiu2"/>
    <w:pPr>
      <w:spacing w:line="264" w:lineRule="auto"/>
      <w:ind w:firstLine="310"/>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Arial" w:eastAsia="Arial" w:hAnsi="Arial" w:cs="Arial"/>
      <w:sz w:val="19"/>
      <w:szCs w:val="19"/>
      <w:u w:val="single"/>
    </w:rPr>
  </w:style>
  <w:style w:type="paragraph" w:customStyle="1" w:styleId="Vnbnnidung20">
    <w:name w:val="Văn bản nội dung (2)"/>
    <w:basedOn w:val="Normal"/>
    <w:link w:val="Vnbnnidung2"/>
    <w:rPr>
      <w:rFonts w:ascii="Arial" w:eastAsia="Arial" w:hAnsi="Arial" w:cs="Arial"/>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f/YplpaUbwurvflQ5FAKv4Z6w==">CgMxLjAyCGguZ2pkZ3hzOAByITFWNEtYbkZYUHpMNEpEZEMwQXdkWEhqM0R5VHB5MDdNcQ==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2291</Characters>
  <Application>Microsoft Office Word</Application>
  <DocSecurity>0</DocSecurity>
  <Lines>35</Lines>
  <Paragraphs>26</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2024-03-04T03:48:00Z</dcterms:created>
  <dcterms:modified xsi:type="dcterms:W3CDTF">2024-03-05T02:18:00Z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32fecdb89cc1c5ec4e185bace0cd49a47f0b4ec47e4942bef9ba44e454dd3f01</vt:lpwstr>
  </property>
</Properties>
</file>