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B35C6" w:rsidRPr="00801BD0" w:rsidRDefault="00801BD0" w:rsidP="008D286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801BD0">
        <w:rPr>
          <w:rFonts w:ascii="Arial" w:hAnsi="Arial" w:cs="Arial"/>
          <w:b/>
          <w:color w:val="010000"/>
          <w:sz w:val="20"/>
        </w:rPr>
        <w:t>VCP: Board Resolution</w:t>
      </w:r>
    </w:p>
    <w:p w14:paraId="00000002" w14:textId="790163A5" w:rsidR="007B35C6" w:rsidRPr="00801BD0" w:rsidRDefault="00801BD0" w:rsidP="008D286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01BD0">
        <w:rPr>
          <w:rFonts w:ascii="Arial" w:hAnsi="Arial" w:cs="Arial"/>
          <w:color w:val="010000"/>
          <w:sz w:val="20"/>
        </w:rPr>
        <w:t xml:space="preserve">On March 04, 2024, </w:t>
      </w:r>
      <w:proofErr w:type="spellStart"/>
      <w:r w:rsidRPr="00801BD0">
        <w:rPr>
          <w:rFonts w:ascii="Arial" w:hAnsi="Arial" w:cs="Arial"/>
          <w:color w:val="010000"/>
          <w:sz w:val="20"/>
        </w:rPr>
        <w:t>Vinaconex</w:t>
      </w:r>
      <w:proofErr w:type="spellEnd"/>
      <w:r w:rsidRPr="00801BD0">
        <w:rPr>
          <w:rFonts w:ascii="Arial" w:hAnsi="Arial" w:cs="Arial"/>
          <w:color w:val="010000"/>
          <w:sz w:val="20"/>
        </w:rPr>
        <w:t xml:space="preserve"> Power Development and Construction Investment Joint Stock Company announced Resolution No. 02/NQ-HDQT on organizing the Annual </w:t>
      </w:r>
      <w:r w:rsidR="008D2865">
        <w:rPr>
          <w:rFonts w:ascii="Arial" w:hAnsi="Arial" w:cs="Arial"/>
          <w:color w:val="010000"/>
          <w:sz w:val="20"/>
        </w:rPr>
        <w:t>General Meeting</w:t>
      </w:r>
      <w:r w:rsidRPr="00801BD0">
        <w:rPr>
          <w:rFonts w:ascii="Arial" w:hAnsi="Arial" w:cs="Arial"/>
          <w:color w:val="010000"/>
          <w:sz w:val="20"/>
        </w:rPr>
        <w:t xml:space="preserve"> 2024 as follows:</w:t>
      </w:r>
    </w:p>
    <w:p w14:paraId="00000003" w14:textId="41F31728" w:rsidR="007B35C6" w:rsidRPr="00801BD0" w:rsidRDefault="00801BD0" w:rsidP="008D286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01BD0">
        <w:rPr>
          <w:rFonts w:ascii="Arial" w:hAnsi="Arial" w:cs="Arial"/>
          <w:color w:val="010000"/>
          <w:sz w:val="20"/>
        </w:rPr>
        <w:t>Article 1:</w:t>
      </w:r>
      <w:r w:rsidR="008D2865">
        <w:rPr>
          <w:rFonts w:ascii="Arial" w:hAnsi="Arial" w:cs="Arial"/>
          <w:color w:val="010000"/>
          <w:sz w:val="20"/>
        </w:rPr>
        <w:t xml:space="preserve"> Approve convening</w:t>
      </w:r>
      <w:r w:rsidRPr="00801BD0">
        <w:rPr>
          <w:rFonts w:ascii="Arial" w:hAnsi="Arial" w:cs="Arial"/>
          <w:color w:val="010000"/>
          <w:sz w:val="20"/>
        </w:rPr>
        <w:t xml:space="preserve"> the Annual </w:t>
      </w:r>
      <w:r w:rsidR="008D2865">
        <w:rPr>
          <w:rFonts w:ascii="Arial" w:hAnsi="Arial" w:cs="Arial"/>
          <w:color w:val="010000"/>
          <w:sz w:val="20"/>
        </w:rPr>
        <w:t>General Meeting</w:t>
      </w:r>
      <w:r w:rsidRPr="00801BD0">
        <w:rPr>
          <w:rFonts w:ascii="Arial" w:hAnsi="Arial" w:cs="Arial"/>
          <w:color w:val="010000"/>
          <w:sz w:val="20"/>
        </w:rPr>
        <w:t xml:space="preserve"> 2024 and the term of 2024-2029 of </w:t>
      </w:r>
      <w:proofErr w:type="spellStart"/>
      <w:r w:rsidRPr="00801BD0">
        <w:rPr>
          <w:rFonts w:ascii="Arial" w:hAnsi="Arial" w:cs="Arial"/>
          <w:color w:val="010000"/>
          <w:sz w:val="20"/>
        </w:rPr>
        <w:t>Vinaconex</w:t>
      </w:r>
      <w:proofErr w:type="spellEnd"/>
      <w:r w:rsidRPr="00801BD0">
        <w:rPr>
          <w:rFonts w:ascii="Arial" w:hAnsi="Arial" w:cs="Arial"/>
          <w:color w:val="010000"/>
          <w:sz w:val="20"/>
        </w:rPr>
        <w:t xml:space="preserve"> Power Development and Construction Investment Joint Stock Company, as follows:</w:t>
      </w:r>
    </w:p>
    <w:p w14:paraId="00000004" w14:textId="77777777" w:rsidR="007B35C6" w:rsidRPr="00801BD0" w:rsidRDefault="00801BD0" w:rsidP="008D28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9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01BD0">
        <w:rPr>
          <w:rFonts w:ascii="Arial" w:hAnsi="Arial" w:cs="Arial"/>
          <w:color w:val="010000"/>
          <w:sz w:val="20"/>
        </w:rPr>
        <w:t>Record date: March 25, 2024</w:t>
      </w:r>
    </w:p>
    <w:p w14:paraId="00000005" w14:textId="5EAF5790" w:rsidR="007B35C6" w:rsidRPr="00801BD0" w:rsidRDefault="00801BD0" w:rsidP="008D28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9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01BD0">
        <w:rPr>
          <w:rFonts w:ascii="Arial" w:hAnsi="Arial" w:cs="Arial"/>
          <w:color w:val="010000"/>
          <w:sz w:val="20"/>
        </w:rPr>
        <w:t xml:space="preserve">Date to disclose information on preparing a list of shareholders to organize the Annual </w:t>
      </w:r>
      <w:r w:rsidR="008D2865">
        <w:rPr>
          <w:rFonts w:ascii="Arial" w:hAnsi="Arial" w:cs="Arial"/>
          <w:color w:val="010000"/>
          <w:sz w:val="20"/>
        </w:rPr>
        <w:t>General Meeting</w:t>
      </w:r>
      <w:r w:rsidRPr="00801BD0">
        <w:rPr>
          <w:rFonts w:ascii="Arial" w:hAnsi="Arial" w:cs="Arial"/>
          <w:color w:val="010000"/>
          <w:sz w:val="20"/>
        </w:rPr>
        <w:t xml:space="preserve"> 2024: March 04, 2024</w:t>
      </w:r>
    </w:p>
    <w:p w14:paraId="00000006" w14:textId="4B9A579E" w:rsidR="007B35C6" w:rsidRPr="00801BD0" w:rsidRDefault="00801BD0" w:rsidP="008D28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0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01BD0">
        <w:rPr>
          <w:rFonts w:ascii="Arial" w:hAnsi="Arial" w:cs="Arial"/>
          <w:color w:val="010000"/>
          <w:sz w:val="20"/>
        </w:rPr>
        <w:t xml:space="preserve">Expected time to organize the Annual </w:t>
      </w:r>
      <w:r w:rsidR="008D2865">
        <w:rPr>
          <w:rFonts w:ascii="Arial" w:hAnsi="Arial" w:cs="Arial"/>
          <w:color w:val="010000"/>
          <w:sz w:val="20"/>
        </w:rPr>
        <w:t>General Meeting</w:t>
      </w:r>
      <w:r w:rsidRPr="00801BD0">
        <w:rPr>
          <w:rFonts w:ascii="Arial" w:hAnsi="Arial" w:cs="Arial"/>
          <w:color w:val="010000"/>
          <w:sz w:val="20"/>
        </w:rPr>
        <w:t>: April 26, 2024.</w:t>
      </w:r>
    </w:p>
    <w:p w14:paraId="00000007" w14:textId="77777777" w:rsidR="007B35C6" w:rsidRPr="00801BD0" w:rsidRDefault="00801BD0" w:rsidP="008D28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9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01BD0">
        <w:rPr>
          <w:rFonts w:ascii="Arial" w:hAnsi="Arial" w:cs="Arial"/>
          <w:color w:val="010000"/>
          <w:sz w:val="20"/>
        </w:rPr>
        <w:t xml:space="preserve">Expected venue: Hydropower Project Administration Building, </w:t>
      </w:r>
      <w:proofErr w:type="spellStart"/>
      <w:r w:rsidRPr="00801BD0">
        <w:rPr>
          <w:rFonts w:ascii="Arial" w:hAnsi="Arial" w:cs="Arial"/>
          <w:color w:val="010000"/>
          <w:sz w:val="20"/>
        </w:rPr>
        <w:t>Trung</w:t>
      </w:r>
      <w:proofErr w:type="spellEnd"/>
      <w:r w:rsidRPr="00801BD0">
        <w:rPr>
          <w:rFonts w:ascii="Arial" w:hAnsi="Arial" w:cs="Arial"/>
          <w:color w:val="010000"/>
          <w:sz w:val="20"/>
        </w:rPr>
        <w:t xml:space="preserve"> Chinh Village, Thuong Xuan Town, Thuong Xuan District, Thanh </w:t>
      </w:r>
      <w:proofErr w:type="spellStart"/>
      <w:r w:rsidRPr="00801BD0">
        <w:rPr>
          <w:rFonts w:ascii="Arial" w:hAnsi="Arial" w:cs="Arial"/>
          <w:color w:val="010000"/>
          <w:sz w:val="20"/>
        </w:rPr>
        <w:t>Hoa</w:t>
      </w:r>
      <w:proofErr w:type="spellEnd"/>
      <w:r w:rsidRPr="00801BD0">
        <w:rPr>
          <w:rFonts w:ascii="Arial" w:hAnsi="Arial" w:cs="Arial"/>
          <w:color w:val="010000"/>
          <w:sz w:val="20"/>
        </w:rPr>
        <w:t xml:space="preserve"> Province</w:t>
      </w:r>
    </w:p>
    <w:p w14:paraId="00000008" w14:textId="3B95720C" w:rsidR="007B35C6" w:rsidRPr="00801BD0" w:rsidRDefault="00801BD0" w:rsidP="008D28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9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01BD0">
        <w:rPr>
          <w:rFonts w:ascii="Arial" w:hAnsi="Arial" w:cs="Arial"/>
          <w:color w:val="010000"/>
          <w:sz w:val="20"/>
        </w:rPr>
        <w:t xml:space="preserve">Purpose: </w:t>
      </w:r>
      <w:r w:rsidR="008D2865">
        <w:rPr>
          <w:rFonts w:ascii="Arial" w:hAnsi="Arial" w:cs="Arial"/>
          <w:color w:val="010000"/>
          <w:sz w:val="20"/>
        </w:rPr>
        <w:t>Convene</w:t>
      </w:r>
      <w:r w:rsidRPr="00801BD0">
        <w:rPr>
          <w:rFonts w:ascii="Arial" w:hAnsi="Arial" w:cs="Arial"/>
          <w:color w:val="010000"/>
          <w:sz w:val="20"/>
        </w:rPr>
        <w:t xml:space="preserve"> the Annual </w:t>
      </w:r>
      <w:r w:rsidR="008D2865">
        <w:rPr>
          <w:rFonts w:ascii="Arial" w:hAnsi="Arial" w:cs="Arial"/>
          <w:color w:val="010000"/>
          <w:sz w:val="20"/>
        </w:rPr>
        <w:t>General Meeting</w:t>
      </w:r>
      <w:r w:rsidRPr="00801BD0">
        <w:rPr>
          <w:rFonts w:ascii="Arial" w:hAnsi="Arial" w:cs="Arial"/>
          <w:color w:val="010000"/>
          <w:sz w:val="20"/>
        </w:rPr>
        <w:t xml:space="preserve"> 2024 and the term of 2024-2029.</w:t>
      </w:r>
    </w:p>
    <w:p w14:paraId="00000009" w14:textId="541EB15F" w:rsidR="007B35C6" w:rsidRPr="00801BD0" w:rsidRDefault="00801BD0" w:rsidP="008D286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01BD0">
        <w:rPr>
          <w:rFonts w:ascii="Arial" w:hAnsi="Arial" w:cs="Arial"/>
          <w:color w:val="010000"/>
          <w:sz w:val="20"/>
        </w:rPr>
        <w:t xml:space="preserve">Article 2: Assign the Legal Representative to direct the information disclosure and implement procedures related to the </w:t>
      </w:r>
      <w:r w:rsidR="008D2865">
        <w:rPr>
          <w:rFonts w:ascii="Arial" w:hAnsi="Arial" w:cs="Arial"/>
          <w:color w:val="010000"/>
          <w:sz w:val="20"/>
        </w:rPr>
        <w:t>convening</w:t>
      </w:r>
      <w:bookmarkStart w:id="0" w:name="_GoBack"/>
      <w:bookmarkEnd w:id="0"/>
      <w:r w:rsidRPr="00801BD0">
        <w:rPr>
          <w:rFonts w:ascii="Arial" w:hAnsi="Arial" w:cs="Arial"/>
          <w:color w:val="010000"/>
          <w:sz w:val="20"/>
        </w:rPr>
        <w:t xml:space="preserve"> of the Annual </w:t>
      </w:r>
      <w:r w:rsidR="008D2865">
        <w:rPr>
          <w:rFonts w:ascii="Arial" w:hAnsi="Arial" w:cs="Arial"/>
          <w:color w:val="010000"/>
          <w:sz w:val="20"/>
        </w:rPr>
        <w:t>General Meeting</w:t>
      </w:r>
      <w:r w:rsidRPr="00801BD0">
        <w:rPr>
          <w:rFonts w:ascii="Arial" w:hAnsi="Arial" w:cs="Arial"/>
          <w:color w:val="010000"/>
          <w:sz w:val="20"/>
        </w:rPr>
        <w:t xml:space="preserve"> to approve the contents stated in Article 1 of this Resolution to ensure compliance with the Law on Enterprises and relevant documents.</w:t>
      </w:r>
    </w:p>
    <w:p w14:paraId="0000000A" w14:textId="57BEE254" w:rsidR="007B35C6" w:rsidRPr="00801BD0" w:rsidRDefault="00801BD0" w:rsidP="008D286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01BD0">
        <w:rPr>
          <w:rFonts w:ascii="Arial" w:hAnsi="Arial" w:cs="Arial"/>
          <w:color w:val="010000"/>
          <w:sz w:val="20"/>
        </w:rPr>
        <w:t xml:space="preserve">Article 3: This </w:t>
      </w:r>
      <w:r w:rsidR="008D2865">
        <w:rPr>
          <w:rFonts w:ascii="Arial" w:hAnsi="Arial" w:cs="Arial"/>
          <w:color w:val="010000"/>
          <w:sz w:val="20"/>
        </w:rPr>
        <w:t xml:space="preserve">Board </w:t>
      </w:r>
      <w:r w:rsidRPr="00801BD0">
        <w:rPr>
          <w:rFonts w:ascii="Arial" w:hAnsi="Arial" w:cs="Arial"/>
          <w:color w:val="010000"/>
          <w:sz w:val="20"/>
        </w:rPr>
        <w:t>Resolution takes effect from the date of its signing. Mem</w:t>
      </w:r>
      <w:r w:rsidR="008D2865">
        <w:rPr>
          <w:rFonts w:ascii="Arial" w:hAnsi="Arial" w:cs="Arial"/>
          <w:color w:val="010000"/>
          <w:sz w:val="20"/>
        </w:rPr>
        <w:t>bers of the Board of Directors and Executive Board</w:t>
      </w:r>
      <w:r w:rsidRPr="00801BD0">
        <w:rPr>
          <w:rFonts w:ascii="Arial" w:hAnsi="Arial" w:cs="Arial"/>
          <w:color w:val="010000"/>
          <w:sz w:val="20"/>
        </w:rPr>
        <w:t>, relevant departments and individuals of the Company are responsible for implementing this Resolution.</w:t>
      </w:r>
    </w:p>
    <w:sectPr w:rsidR="007B35C6" w:rsidRPr="00801BD0" w:rsidSect="00801BD0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3160B"/>
    <w:multiLevelType w:val="multilevel"/>
    <w:tmpl w:val="B61CC1D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C6"/>
    <w:rsid w:val="007B35C6"/>
    <w:rsid w:val="00801BD0"/>
    <w:rsid w:val="008D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3F2CEE"/>
  <w15:docId w15:val="{59B59830-2972-4D96-9B2A-A18A6B9C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="Helvetica Neue" w:hAnsi="Helvetica Neue" w:cs="Helvetica Neue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Bodytext50">
    <w:name w:val="Body text (5)"/>
    <w:basedOn w:val="Normal"/>
    <w:link w:val="Bodytext5"/>
    <w:rPr>
      <w:rFonts w:ascii="Arial" w:eastAsia="Arial" w:hAnsi="Arial" w:cs="Arial"/>
      <w:sz w:val="44"/>
      <w:szCs w:val="44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sz w:val="19"/>
      <w:szCs w:val="19"/>
    </w:rPr>
  </w:style>
  <w:style w:type="paragraph" w:styleId="BodyText">
    <w:name w:val="Body Text"/>
    <w:basedOn w:val="Normal"/>
    <w:link w:val="BodyTextChar"/>
    <w:qFormat/>
    <w:pPr>
      <w:spacing w:line="30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Normal"/>
    <w:link w:val="Bodytext3"/>
    <w:pPr>
      <w:spacing w:line="221" w:lineRule="auto"/>
      <w:jc w:val="right"/>
    </w:pPr>
    <w:rPr>
      <w:rFonts w:ascii="Arial" w:eastAsia="Arial" w:hAnsi="Arial" w:cs="Arial"/>
      <w:b/>
      <w:bCs/>
      <w:sz w:val="15"/>
      <w:szCs w:val="15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BoLd//If+B2wUqdXtSymehQUBw==">CgMxLjA4AHIhMW1femNaWUtqU1VRa2trQUQtbkFwTUdKTFNkNUlYLUNa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2024-03-06T03:41:00Z</dcterms:created>
  <dcterms:modified xsi:type="dcterms:W3CDTF">2024-03-06T03:41:00Z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43be59216b0020f789f7e55c3adb6eca90e94cd51cbfcab928d9d4fc16a2d25c</vt:lpwstr>
  </property>
</Properties>
</file>