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FC86B2D" w:rsidR="00DB578F" w:rsidRPr="003E11DD" w:rsidRDefault="0030724B" w:rsidP="0030724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 w:cs="Arial"/>
          <w:b/>
          <w:color w:val="010000"/>
          <w:sz w:val="20"/>
        </w:rPr>
        <w:t xml:space="preserve">VIF: Explanation on </w:t>
      </w:r>
      <w:r w:rsidR="003E11DD" w:rsidRPr="003E11DD">
        <w:rPr>
          <w:rFonts w:ascii="Arial" w:hAnsi="Arial" w:cs="Arial"/>
          <w:b/>
          <w:color w:val="010000"/>
          <w:sz w:val="20"/>
        </w:rPr>
        <w:t>difference in profit after tax in 2023</w:t>
      </w:r>
    </w:p>
    <w:p w14:paraId="00000002" w14:textId="411CDF83" w:rsidR="00DB578F" w:rsidRPr="003E11DD" w:rsidRDefault="003E11DD" w:rsidP="0030724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E11DD">
        <w:rPr>
          <w:rFonts w:ascii="Arial" w:hAnsi="Arial" w:cs="Arial"/>
          <w:color w:val="010000"/>
          <w:sz w:val="20"/>
        </w:rPr>
        <w:t>On March 25, 2024, Viet Nam Forestry Corporation - Joint Stock company announced Official Dispatch No. 358/TCT/KTTC on explaining the difference in profit after tax 2023 as follows:</w:t>
      </w:r>
    </w:p>
    <w:p w14:paraId="00000003" w14:textId="0F9CC47D" w:rsidR="00DB578F" w:rsidRPr="003E11DD" w:rsidRDefault="003E11DD" w:rsidP="003072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63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E11DD">
        <w:rPr>
          <w:rFonts w:ascii="Arial" w:hAnsi="Arial" w:cs="Arial"/>
          <w:color w:val="010000"/>
          <w:sz w:val="20"/>
        </w:rPr>
        <w:t>In the Holding Company's Separate Financial Statements:</w:t>
      </w:r>
    </w:p>
    <w:p w14:paraId="00000004" w14:textId="64BB7C7E" w:rsidR="00DB578F" w:rsidRPr="003E11DD" w:rsidRDefault="003E11DD" w:rsidP="003072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2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E11DD">
        <w:rPr>
          <w:rFonts w:ascii="Arial" w:hAnsi="Arial" w:cs="Arial"/>
          <w:color w:val="010000"/>
          <w:sz w:val="20"/>
        </w:rPr>
        <w:t>Profit after tax in the Holding Company's Separate Financial Statements 2023: VND 350,082,250,702.</w:t>
      </w:r>
    </w:p>
    <w:p w14:paraId="00000005" w14:textId="3172A09B" w:rsidR="00DB578F" w:rsidRPr="003E11DD" w:rsidRDefault="003E11DD" w:rsidP="003072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2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E11DD">
        <w:rPr>
          <w:rFonts w:ascii="Arial" w:hAnsi="Arial" w:cs="Arial"/>
          <w:color w:val="010000"/>
          <w:sz w:val="20"/>
        </w:rPr>
        <w:t>Profit after tax in the Holding Company's Separate Financial Statements 2022: VND 330,825,911,235.</w:t>
      </w:r>
    </w:p>
    <w:p w14:paraId="00000006" w14:textId="77777777" w:rsidR="00DB578F" w:rsidRPr="003E11DD" w:rsidRDefault="003E11DD" w:rsidP="003072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2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E11DD">
        <w:rPr>
          <w:rFonts w:ascii="Arial" w:hAnsi="Arial" w:cs="Arial"/>
          <w:color w:val="010000"/>
          <w:sz w:val="20"/>
        </w:rPr>
        <w:t>Level of change: An increase of VND 19,256,339,467, equivalent to 5.8%.</w:t>
      </w:r>
    </w:p>
    <w:p w14:paraId="00000007" w14:textId="6020E7F5" w:rsidR="00DB578F" w:rsidRPr="003E11DD" w:rsidRDefault="003E11DD" w:rsidP="0030724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E11DD">
        <w:rPr>
          <w:rFonts w:ascii="Arial" w:hAnsi="Arial" w:cs="Arial"/>
          <w:color w:val="010000"/>
          <w:sz w:val="20"/>
        </w:rPr>
        <w:t xml:space="preserve">Primary reason: Gross profit on sales and service provision in 2023 increased by 53% </w:t>
      </w:r>
      <w:r w:rsidR="0030724B">
        <w:rPr>
          <w:rFonts w:ascii="Arial" w:hAnsi="Arial" w:cs="Arial"/>
          <w:color w:val="010000"/>
          <w:sz w:val="20"/>
        </w:rPr>
        <w:t>year-on-year</w:t>
      </w:r>
      <w:r w:rsidRPr="003E11DD">
        <w:rPr>
          <w:rFonts w:ascii="Arial" w:hAnsi="Arial" w:cs="Arial"/>
          <w:color w:val="010000"/>
          <w:sz w:val="20"/>
        </w:rPr>
        <w:t xml:space="preserve"> because the Corporation sold 91 apartment units of the </w:t>
      </w:r>
      <w:proofErr w:type="spellStart"/>
      <w:r w:rsidRPr="003E11DD">
        <w:rPr>
          <w:rFonts w:ascii="Arial" w:hAnsi="Arial" w:cs="Arial"/>
          <w:color w:val="010000"/>
          <w:sz w:val="20"/>
        </w:rPr>
        <w:t>Ecolakeview</w:t>
      </w:r>
      <w:proofErr w:type="spellEnd"/>
      <w:r w:rsidRPr="003E11DD">
        <w:rPr>
          <w:rFonts w:ascii="Arial" w:hAnsi="Arial" w:cs="Arial"/>
          <w:color w:val="010000"/>
          <w:sz w:val="20"/>
        </w:rPr>
        <w:t xml:space="preserve"> Project - 32 Dai </w:t>
      </w:r>
      <w:proofErr w:type="spellStart"/>
      <w:r w:rsidRPr="003E11DD">
        <w:rPr>
          <w:rFonts w:ascii="Arial" w:hAnsi="Arial" w:cs="Arial"/>
          <w:color w:val="010000"/>
          <w:sz w:val="20"/>
        </w:rPr>
        <w:t>Tu</w:t>
      </w:r>
      <w:proofErr w:type="spellEnd"/>
      <w:r w:rsidRPr="003E11DD">
        <w:rPr>
          <w:rFonts w:ascii="Arial" w:hAnsi="Arial" w:cs="Arial"/>
          <w:color w:val="010000"/>
          <w:sz w:val="20"/>
        </w:rPr>
        <w:t xml:space="preserve">, Hanoi in 2023, leading to an increase in the Holding Company's profit after tax in 2023 </w:t>
      </w:r>
      <w:r w:rsidR="0030724B">
        <w:rPr>
          <w:rFonts w:ascii="Arial" w:hAnsi="Arial" w:cs="Arial"/>
          <w:color w:val="010000"/>
          <w:sz w:val="20"/>
        </w:rPr>
        <w:t>year-on-year</w:t>
      </w:r>
      <w:r w:rsidRPr="003E11DD">
        <w:rPr>
          <w:rFonts w:ascii="Arial" w:hAnsi="Arial" w:cs="Arial"/>
          <w:color w:val="010000"/>
          <w:sz w:val="20"/>
        </w:rPr>
        <w:t>.</w:t>
      </w:r>
    </w:p>
    <w:p w14:paraId="00000008" w14:textId="2E5C3A19" w:rsidR="00DB578F" w:rsidRPr="003E11DD" w:rsidRDefault="003E11DD" w:rsidP="003072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6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E11DD">
        <w:rPr>
          <w:rFonts w:ascii="Arial" w:hAnsi="Arial" w:cs="Arial"/>
          <w:color w:val="010000"/>
          <w:sz w:val="20"/>
        </w:rPr>
        <w:t>In the Consolidated Financial Statements:</w:t>
      </w:r>
    </w:p>
    <w:p w14:paraId="0000000A" w14:textId="544E7799" w:rsidR="00DB578F" w:rsidRPr="003E11DD" w:rsidRDefault="003E11DD" w:rsidP="003072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54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E11DD">
        <w:rPr>
          <w:rFonts w:ascii="Arial" w:hAnsi="Arial" w:cs="Arial"/>
          <w:color w:val="010000"/>
          <w:sz w:val="20"/>
        </w:rPr>
        <w:t>Profit after tax in the Consolidated Financial Statements 2023:  VND 275,824,169,068.</w:t>
      </w:r>
    </w:p>
    <w:p w14:paraId="0000000C" w14:textId="05937E17" w:rsidR="00DB578F" w:rsidRPr="003E11DD" w:rsidRDefault="003E11DD" w:rsidP="003072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5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E11DD">
        <w:rPr>
          <w:rFonts w:ascii="Arial" w:hAnsi="Arial" w:cs="Arial"/>
          <w:color w:val="010000"/>
          <w:sz w:val="20"/>
        </w:rPr>
        <w:t>Profit after tax in the Consolidated Financial Statements 2022:  VND 484,382,695,143.</w:t>
      </w:r>
    </w:p>
    <w:p w14:paraId="0000000D" w14:textId="21F35C18" w:rsidR="00DB578F" w:rsidRPr="003E11DD" w:rsidRDefault="003E11DD" w:rsidP="003072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5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E11DD">
        <w:rPr>
          <w:rFonts w:ascii="Arial" w:hAnsi="Arial" w:cs="Arial"/>
          <w:color w:val="010000"/>
          <w:sz w:val="20"/>
        </w:rPr>
        <w:t>Level of change: a decrease of VND 208,558,526,075, equivalent to 43%.</w:t>
      </w:r>
    </w:p>
    <w:p w14:paraId="0000000E" w14:textId="7C255A66" w:rsidR="00DB578F" w:rsidRPr="003E11DD" w:rsidRDefault="003E11DD" w:rsidP="0030724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E11DD">
        <w:rPr>
          <w:rFonts w:ascii="Arial" w:hAnsi="Arial" w:cs="Arial"/>
          <w:color w:val="010000"/>
          <w:sz w:val="20"/>
        </w:rPr>
        <w:t>Primar</w:t>
      </w:r>
      <w:r w:rsidR="0030724B">
        <w:rPr>
          <w:rFonts w:ascii="Arial" w:hAnsi="Arial" w:cs="Arial"/>
          <w:color w:val="010000"/>
          <w:sz w:val="20"/>
        </w:rPr>
        <w:t>y reason: Due to the impact of worseni</w:t>
      </w:r>
      <w:bookmarkStart w:id="0" w:name="_GoBack"/>
      <w:bookmarkEnd w:id="0"/>
      <w:r w:rsidR="0030724B">
        <w:rPr>
          <w:rFonts w:ascii="Arial" w:hAnsi="Arial" w:cs="Arial"/>
          <w:color w:val="010000"/>
          <w:sz w:val="20"/>
        </w:rPr>
        <w:t>ng world economic and geopolitics at play</w:t>
      </w:r>
      <w:r w:rsidRPr="003E11DD">
        <w:rPr>
          <w:rFonts w:ascii="Arial" w:hAnsi="Arial" w:cs="Arial"/>
          <w:color w:val="010000"/>
          <w:sz w:val="20"/>
        </w:rPr>
        <w:t xml:space="preserve">, decreased market demand along with economic difficulties, production and business results in 2023 of companies with contributed capital of the Corporation declined in both domestic and export markets, leading to a decrease in the Corporation's profit after tax in 2023 </w:t>
      </w:r>
      <w:r w:rsidR="0030724B">
        <w:rPr>
          <w:rFonts w:ascii="Arial" w:hAnsi="Arial" w:cs="Arial"/>
          <w:color w:val="010000"/>
          <w:sz w:val="20"/>
        </w:rPr>
        <w:t>year-on-year</w:t>
      </w:r>
      <w:r w:rsidRPr="003E11DD">
        <w:rPr>
          <w:rFonts w:ascii="Arial" w:hAnsi="Arial" w:cs="Arial"/>
          <w:color w:val="010000"/>
          <w:sz w:val="20"/>
        </w:rPr>
        <w:t>.</w:t>
      </w:r>
    </w:p>
    <w:sectPr w:rsidR="00DB578F" w:rsidRPr="003E11DD" w:rsidSect="00876FC8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7FDF"/>
    <w:multiLevelType w:val="multilevel"/>
    <w:tmpl w:val="A1BAF69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879088B"/>
    <w:multiLevelType w:val="multilevel"/>
    <w:tmpl w:val="CE60BDF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8F"/>
    <w:rsid w:val="0030724B"/>
    <w:rsid w:val="003E11DD"/>
    <w:rsid w:val="00876FC8"/>
    <w:rsid w:val="00DB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7FD1B9"/>
  <w15:docId w15:val="{6A81E055-FB8F-469F-939B-E6F089BC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color w:val="D3212C"/>
      <w:w w:val="50"/>
      <w:sz w:val="20"/>
      <w:szCs w:val="20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/>
      <w:bCs/>
      <w:i w:val="0"/>
      <w:iCs w:val="0"/>
      <w:smallCaps w:val="0"/>
      <w:strike w:val="0"/>
      <w:color w:val="D3212C"/>
      <w:w w:val="60"/>
      <w:sz w:val="17"/>
      <w:szCs w:val="17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3212C"/>
      <w:sz w:val="10"/>
      <w:szCs w:val="1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3212C"/>
      <w:sz w:val="12"/>
      <w:szCs w:val="1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b/>
      <w:bCs/>
      <w:color w:val="D3212C"/>
      <w:w w:val="50"/>
      <w:sz w:val="20"/>
      <w:szCs w:val="20"/>
    </w:rPr>
  </w:style>
  <w:style w:type="paragraph" w:customStyle="1" w:styleId="Vnbnnidung50">
    <w:name w:val="Văn bản nội dung (5)"/>
    <w:basedOn w:val="Normal"/>
    <w:link w:val="Vnbnnidung5"/>
    <w:rPr>
      <w:rFonts w:ascii="Arial" w:eastAsia="Arial" w:hAnsi="Arial" w:cs="Arial"/>
      <w:b/>
      <w:bCs/>
      <w:color w:val="D3212C"/>
      <w:w w:val="60"/>
      <w:sz w:val="17"/>
      <w:szCs w:val="17"/>
    </w:rPr>
  </w:style>
  <w:style w:type="paragraph" w:customStyle="1" w:styleId="Vnbnnidung60">
    <w:name w:val="Văn bản nội dung (6)"/>
    <w:basedOn w:val="Normal"/>
    <w:link w:val="Vnbnnidung6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color w:val="D3212C"/>
      <w:sz w:val="10"/>
      <w:szCs w:val="10"/>
    </w:rPr>
  </w:style>
  <w:style w:type="paragraph" w:customStyle="1" w:styleId="Vnbnnidung20">
    <w:name w:val="Văn bản nội dung (2)"/>
    <w:basedOn w:val="Normal"/>
    <w:link w:val="Vnbnnidung2"/>
    <w:pPr>
      <w:spacing w:line="202" w:lineRule="auto"/>
    </w:pPr>
    <w:rPr>
      <w:rFonts w:ascii="Times New Roman" w:eastAsia="Times New Roman" w:hAnsi="Times New Roman" w:cs="Times New Roman"/>
      <w:color w:val="D3212C"/>
      <w:sz w:val="12"/>
      <w:szCs w:val="1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sOC0Klsffun+Nh1/wHnfYEf5iQ==">CgMxLjA4AHIhMV9oZTZ3U0dwejFTRnpxUy1EWGVJc1VvUjJkM3pFNHo5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2024-04-01T03:52:00Z</dcterms:created>
  <dcterms:modified xsi:type="dcterms:W3CDTF">2024-04-01T03:52:00Z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5df1cac401ba791081b6bb0ef6cb0c174422562dbbd27f8d370ae266b940c614</vt:lpwstr>
  </property>
</Properties>
</file>