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CF6D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E7608">
        <w:rPr>
          <w:rFonts w:ascii="Arial" w:hAnsi="Arial" w:cs="Arial"/>
          <w:b/>
          <w:color w:val="010000"/>
          <w:sz w:val="20"/>
        </w:rPr>
        <w:t>BDB: Annual General Mandate 2024</w:t>
      </w:r>
    </w:p>
    <w:p w14:paraId="32E345E4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r w:rsidRPr="008E7608">
        <w:rPr>
          <w:rFonts w:ascii="Arial" w:hAnsi="Arial" w:cs="Arial"/>
          <w:color w:val="010000"/>
          <w:sz w:val="20"/>
        </w:rPr>
        <w:t>Binh</w:t>
      </w:r>
      <w:proofErr w:type="spellEnd"/>
      <w:r w:rsidRPr="008E760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E7608">
        <w:rPr>
          <w:rFonts w:ascii="Arial" w:hAnsi="Arial" w:cs="Arial"/>
          <w:color w:val="010000"/>
          <w:sz w:val="20"/>
        </w:rPr>
        <w:t>Dinh</w:t>
      </w:r>
      <w:proofErr w:type="spellEnd"/>
      <w:r w:rsidRPr="008E7608">
        <w:rPr>
          <w:rFonts w:ascii="Arial" w:hAnsi="Arial" w:cs="Arial"/>
          <w:color w:val="010000"/>
          <w:sz w:val="20"/>
        </w:rPr>
        <w:t xml:space="preserve"> Book and Equipment Joint Stock Company announced General Mandate No. 07/NQ-DHCD as follows:</w:t>
      </w:r>
    </w:p>
    <w:p w14:paraId="53FD05A2" w14:textId="4022C42D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E7608">
        <w:rPr>
          <w:rFonts w:ascii="Arial" w:hAnsi="Arial" w:cs="Arial"/>
          <w:color w:val="010000"/>
          <w:sz w:val="20"/>
        </w:rPr>
        <w:t>Article 1: Approve the Report on activities of the Board of Directors.</w:t>
      </w:r>
    </w:p>
    <w:p w14:paraId="2CCDEE78" w14:textId="1A692EA2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Article 2: Approve the production and business results in 2023</w:t>
      </w:r>
      <w:r w:rsidR="001C48F1" w:rsidRPr="008E7608">
        <w:rPr>
          <w:rFonts w:ascii="Arial" w:hAnsi="Arial" w:cs="Arial"/>
          <w:color w:val="010000"/>
          <w:sz w:val="20"/>
        </w:rPr>
        <w:t>:</w:t>
      </w:r>
    </w:p>
    <w:p w14:paraId="73424A88" w14:textId="77777777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50"/>
          <w:tab w:val="right" w:pos="7231"/>
          <w:tab w:val="right" w:pos="7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Total revenue: VND 64,723,691,465</w:t>
      </w:r>
    </w:p>
    <w:p w14:paraId="5132348C" w14:textId="77777777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50"/>
          <w:tab w:val="right" w:pos="7231"/>
          <w:tab w:val="right" w:pos="7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Profit before tax: VND 1,205,056,018</w:t>
      </w:r>
    </w:p>
    <w:p w14:paraId="0E16C37E" w14:textId="5EF6FADE" w:rsidR="00B8049F" w:rsidRPr="008E7608" w:rsidRDefault="001C48F1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50"/>
          <w:tab w:val="right" w:pos="7231"/>
          <w:tab w:val="right" w:pos="7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Rate of Profit/C</w:t>
      </w:r>
      <w:r w:rsidR="007601D5" w:rsidRPr="008E7608">
        <w:rPr>
          <w:rFonts w:ascii="Arial" w:hAnsi="Arial" w:cs="Arial"/>
          <w:color w:val="010000"/>
          <w:sz w:val="20"/>
        </w:rPr>
        <w:t xml:space="preserve">apital: 10.7% </w:t>
      </w:r>
    </w:p>
    <w:p w14:paraId="1A566A14" w14:textId="77777777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50"/>
          <w:tab w:val="right" w:pos="7231"/>
          <w:tab w:val="right" w:pos="7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Profit after tax: VND 943,105,107</w:t>
      </w:r>
    </w:p>
    <w:p w14:paraId="003048AD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Article 3: Approve the fund distribution plan in 2023</w:t>
      </w:r>
    </w:p>
    <w:p w14:paraId="5760CC4B" w14:textId="367957B2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50"/>
          <w:tab w:val="left" w:pos="54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Dividend rate of 8%</w:t>
      </w:r>
      <w:r w:rsidR="001C48F1" w:rsidRPr="008E7608">
        <w:rPr>
          <w:rFonts w:ascii="Arial" w:hAnsi="Arial" w:cs="Arial"/>
          <w:color w:val="010000"/>
          <w:sz w:val="20"/>
        </w:rPr>
        <w:t>/</w:t>
      </w:r>
      <w:r w:rsidRPr="008E7608">
        <w:rPr>
          <w:rFonts w:ascii="Arial" w:hAnsi="Arial" w:cs="Arial"/>
          <w:color w:val="010000"/>
          <w:sz w:val="20"/>
        </w:rPr>
        <w:t xml:space="preserve">year: VND 901,179,200 </w:t>
      </w:r>
      <w:r w:rsidRPr="008E7608">
        <w:rPr>
          <w:rFonts w:ascii="Arial" w:hAnsi="Arial" w:cs="Arial"/>
          <w:color w:val="010000"/>
          <w:sz w:val="20"/>
        </w:rPr>
        <w:br/>
        <w:t xml:space="preserve">(In which, </w:t>
      </w:r>
      <w:r w:rsidR="001C48F1" w:rsidRPr="008E7608">
        <w:rPr>
          <w:rFonts w:ascii="Arial" w:hAnsi="Arial" w:cs="Arial"/>
          <w:color w:val="010000"/>
          <w:sz w:val="20"/>
        </w:rPr>
        <w:t>appropriate</w:t>
      </w:r>
      <w:r w:rsidRPr="008E7608">
        <w:rPr>
          <w:rFonts w:ascii="Arial" w:hAnsi="Arial" w:cs="Arial"/>
          <w:color w:val="010000"/>
          <w:sz w:val="20"/>
        </w:rPr>
        <w:t xml:space="preserve"> from the previous year's undistributed profit </w:t>
      </w:r>
      <w:r w:rsidR="001C48F1" w:rsidRPr="008E7608">
        <w:rPr>
          <w:rFonts w:ascii="Arial" w:hAnsi="Arial" w:cs="Arial"/>
          <w:color w:val="010000"/>
          <w:sz w:val="20"/>
        </w:rPr>
        <w:t>with an amount of</w:t>
      </w:r>
      <w:r w:rsidRPr="008E7608">
        <w:rPr>
          <w:rFonts w:ascii="Arial" w:hAnsi="Arial" w:cs="Arial"/>
          <w:color w:val="010000"/>
          <w:sz w:val="20"/>
        </w:rPr>
        <w:t>:</w:t>
      </w:r>
      <w:r w:rsidR="001C48F1" w:rsidRPr="008E7608">
        <w:rPr>
          <w:rFonts w:ascii="Arial" w:hAnsi="Arial" w:cs="Arial"/>
          <w:color w:val="010000"/>
          <w:sz w:val="20"/>
        </w:rPr>
        <w:t xml:space="preserve"> </w:t>
      </w:r>
      <w:r w:rsidRPr="008E7608">
        <w:rPr>
          <w:rFonts w:ascii="Arial" w:hAnsi="Arial" w:cs="Arial"/>
          <w:color w:val="010000"/>
          <w:sz w:val="20"/>
        </w:rPr>
        <w:t xml:space="preserve">VND 71,246,705) </w:t>
      </w:r>
    </w:p>
    <w:p w14:paraId="378A42F9" w14:textId="7861AF6A" w:rsidR="00B8049F" w:rsidRPr="008E7608" w:rsidRDefault="001C48F1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50"/>
          <w:tab w:val="left" w:pos="54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Investment and development fund </w:t>
      </w:r>
      <w:r w:rsidR="007601D5" w:rsidRPr="008E7608">
        <w:rPr>
          <w:rFonts w:ascii="Arial" w:hAnsi="Arial" w:cs="Arial"/>
          <w:color w:val="010000"/>
          <w:sz w:val="20"/>
        </w:rPr>
        <w:t>(5% of profit after tax): VND 47,155,255</w:t>
      </w:r>
    </w:p>
    <w:p w14:paraId="4E3817A2" w14:textId="30DB0643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Bonus and welfare fund</w:t>
      </w:r>
      <w:r w:rsidR="001C48F1" w:rsidRPr="008E7608">
        <w:rPr>
          <w:rFonts w:ascii="Arial" w:hAnsi="Arial" w:cs="Arial"/>
          <w:color w:val="010000"/>
          <w:sz w:val="20"/>
        </w:rPr>
        <w:t xml:space="preserve"> (</w:t>
      </w:r>
      <w:r w:rsidRPr="008E7608">
        <w:rPr>
          <w:rFonts w:ascii="Arial" w:hAnsi="Arial" w:cs="Arial"/>
          <w:color w:val="010000"/>
          <w:sz w:val="20"/>
        </w:rPr>
        <w:t>≤ 7% of profit after tax)</w:t>
      </w:r>
      <w:r w:rsidR="001C48F1" w:rsidRPr="008E7608">
        <w:rPr>
          <w:rFonts w:ascii="Arial" w:hAnsi="Arial" w:cs="Arial"/>
          <w:color w:val="010000"/>
          <w:sz w:val="20"/>
        </w:rPr>
        <w:t>:</w:t>
      </w:r>
      <w:r w:rsidRPr="008E7608">
        <w:rPr>
          <w:rFonts w:ascii="Arial" w:hAnsi="Arial" w:cs="Arial"/>
          <w:color w:val="010000"/>
          <w:sz w:val="20"/>
        </w:rPr>
        <w:t xml:space="preserve"> VND 66,017,357.</w:t>
      </w:r>
    </w:p>
    <w:p w14:paraId="58EF7F23" w14:textId="4329F225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Article 4: Approve the result</w:t>
      </w:r>
      <w:r w:rsidR="001C48F1" w:rsidRPr="008E7608">
        <w:rPr>
          <w:rFonts w:ascii="Arial" w:hAnsi="Arial" w:cs="Arial"/>
          <w:color w:val="010000"/>
          <w:sz w:val="20"/>
        </w:rPr>
        <w:t>s</w:t>
      </w:r>
      <w:r w:rsidRPr="008E7608">
        <w:rPr>
          <w:rFonts w:ascii="Arial" w:hAnsi="Arial" w:cs="Arial"/>
          <w:color w:val="010000"/>
          <w:sz w:val="20"/>
        </w:rPr>
        <w:t xml:space="preserve"> of remuneration </w:t>
      </w:r>
      <w:r w:rsidR="001C48F1" w:rsidRPr="008E7608">
        <w:rPr>
          <w:rFonts w:ascii="Arial" w:hAnsi="Arial" w:cs="Arial"/>
          <w:color w:val="010000"/>
          <w:sz w:val="20"/>
        </w:rPr>
        <w:t>for</w:t>
      </w:r>
      <w:r w:rsidRPr="008E7608">
        <w:rPr>
          <w:rFonts w:ascii="Arial" w:hAnsi="Arial" w:cs="Arial"/>
          <w:color w:val="010000"/>
          <w:sz w:val="20"/>
        </w:rPr>
        <w:t xml:space="preserve"> the Board of Directors and the Supervisory Board in 2023</w:t>
      </w:r>
    </w:p>
    <w:p w14:paraId="76ED4105" w14:textId="0F04ED2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Total remuneration for the Board of Directors and </w:t>
      </w:r>
      <w:r w:rsidR="001C48F1" w:rsidRPr="008E7608">
        <w:rPr>
          <w:rFonts w:ascii="Arial" w:hAnsi="Arial" w:cs="Arial"/>
          <w:color w:val="010000"/>
          <w:sz w:val="20"/>
        </w:rPr>
        <w:t xml:space="preserve">the </w:t>
      </w:r>
      <w:r w:rsidRPr="008E7608">
        <w:rPr>
          <w:rFonts w:ascii="Arial" w:hAnsi="Arial" w:cs="Arial"/>
          <w:color w:val="010000"/>
          <w:sz w:val="20"/>
        </w:rPr>
        <w:t xml:space="preserve">Supervisory Board in 2023 </w:t>
      </w:r>
      <w:r w:rsidR="001C48F1" w:rsidRPr="008E7608">
        <w:rPr>
          <w:rFonts w:ascii="Arial" w:hAnsi="Arial" w:cs="Arial"/>
          <w:color w:val="010000"/>
          <w:sz w:val="20"/>
        </w:rPr>
        <w:t>is</w:t>
      </w:r>
      <w:r w:rsidRPr="008E7608">
        <w:rPr>
          <w:rFonts w:ascii="Arial" w:hAnsi="Arial" w:cs="Arial"/>
          <w:color w:val="010000"/>
          <w:sz w:val="20"/>
        </w:rPr>
        <w:t xml:space="preserve"> 7% of profit after tax (Total </w:t>
      </w:r>
      <w:r w:rsidR="001C48F1" w:rsidRPr="008E7608">
        <w:rPr>
          <w:rFonts w:ascii="Arial" w:hAnsi="Arial" w:cs="Arial"/>
          <w:color w:val="010000"/>
          <w:sz w:val="20"/>
        </w:rPr>
        <w:t>remuneration</w:t>
      </w:r>
      <w:r w:rsidRPr="008E7608">
        <w:rPr>
          <w:rFonts w:ascii="Arial" w:hAnsi="Arial" w:cs="Arial"/>
          <w:color w:val="010000"/>
          <w:sz w:val="20"/>
        </w:rPr>
        <w:t>: VND 66,017,357).</w:t>
      </w:r>
      <w:r w:rsidR="001C48F1" w:rsidRPr="008E7608">
        <w:rPr>
          <w:rFonts w:ascii="Arial" w:hAnsi="Arial" w:cs="Arial"/>
          <w:color w:val="010000"/>
          <w:sz w:val="20"/>
        </w:rPr>
        <w:t xml:space="preserve"> </w:t>
      </w:r>
    </w:p>
    <w:p w14:paraId="06E45ED2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Article 5: Approve the production and business plan for 2024:</w:t>
      </w:r>
    </w:p>
    <w:p w14:paraId="02165777" w14:textId="77777777" w:rsidR="007601D5" w:rsidRPr="008E7608" w:rsidRDefault="007601D5" w:rsidP="00F3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47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Total revenue: VND 61,000,000,000</w:t>
      </w:r>
    </w:p>
    <w:p w14:paraId="2E26140C" w14:textId="77777777" w:rsidR="007601D5" w:rsidRPr="008E7608" w:rsidRDefault="007601D5" w:rsidP="00F3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  <w:tab w:val="left" w:pos="4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Profit before tax: VND 1,200,000,000</w:t>
      </w:r>
    </w:p>
    <w:p w14:paraId="05DBE376" w14:textId="77777777" w:rsidR="007601D5" w:rsidRPr="008E7608" w:rsidRDefault="007601D5" w:rsidP="00F3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  <w:tab w:val="left" w:pos="4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Minimum dividend payment rate: 8%</w:t>
      </w:r>
    </w:p>
    <w:p w14:paraId="5FB1DAD7" w14:textId="327C4B68" w:rsidR="007601D5" w:rsidRPr="008E7608" w:rsidRDefault="001C48F1" w:rsidP="00F3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  <w:tab w:val="left" w:pos="4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Rate of profit</w:t>
      </w:r>
      <w:r w:rsidR="007601D5" w:rsidRPr="008E7608">
        <w:rPr>
          <w:rFonts w:ascii="Arial" w:hAnsi="Arial" w:cs="Arial"/>
          <w:color w:val="010000"/>
          <w:sz w:val="20"/>
        </w:rPr>
        <w:t>: 10.7%</w:t>
      </w:r>
    </w:p>
    <w:p w14:paraId="4525540E" w14:textId="77777777" w:rsidR="007601D5" w:rsidRPr="008E7608" w:rsidRDefault="007601D5" w:rsidP="00F3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4"/>
          <w:tab w:val="left" w:pos="48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Appropriation for investment and development fund: 5%/Profit after tax</w:t>
      </w:r>
    </w:p>
    <w:p w14:paraId="441670C8" w14:textId="77777777" w:rsidR="007601D5" w:rsidRPr="008E7608" w:rsidRDefault="007601D5" w:rsidP="00F3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4"/>
          <w:tab w:val="left" w:pos="48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Appropriation for bonus and welfare fund: ≤ 12%/Profit after tax</w:t>
      </w:r>
    </w:p>
    <w:p w14:paraId="2BF17E60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Article 6: Approve the main orientation and missions for 2024.</w:t>
      </w:r>
    </w:p>
    <w:p w14:paraId="6A89FAEB" w14:textId="77777777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Continue to fully and promptly supply local needs for books and equipment; strive to complete the plan assigned by Vietnam Education Publishing House Limited Company.</w:t>
      </w:r>
    </w:p>
    <w:p w14:paraId="4A6C059A" w14:textId="55686779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Continue to implement solutions to increase the </w:t>
      </w:r>
      <w:r w:rsidR="001C48F1" w:rsidRPr="008E7608">
        <w:rPr>
          <w:rFonts w:ascii="Arial" w:hAnsi="Arial" w:cs="Arial"/>
          <w:color w:val="010000"/>
          <w:sz w:val="20"/>
        </w:rPr>
        <w:t>rate</w:t>
      </w:r>
      <w:r w:rsidRPr="008E7608">
        <w:rPr>
          <w:rFonts w:ascii="Arial" w:hAnsi="Arial" w:cs="Arial"/>
          <w:color w:val="010000"/>
          <w:sz w:val="20"/>
        </w:rPr>
        <w:t xml:space="preserve"> of retail sales and </w:t>
      </w:r>
      <w:r w:rsidR="001C48F1" w:rsidRPr="008E7608">
        <w:rPr>
          <w:rFonts w:ascii="Arial" w:hAnsi="Arial" w:cs="Arial"/>
          <w:color w:val="010000"/>
          <w:sz w:val="20"/>
        </w:rPr>
        <w:t>decrease</w:t>
      </w:r>
      <w:r w:rsidRPr="008E7608">
        <w:rPr>
          <w:rFonts w:ascii="Arial" w:hAnsi="Arial" w:cs="Arial"/>
          <w:color w:val="010000"/>
          <w:sz w:val="20"/>
        </w:rPr>
        <w:t xml:space="preserve"> the </w:t>
      </w:r>
      <w:r w:rsidR="001C48F1" w:rsidRPr="008E7608">
        <w:rPr>
          <w:rFonts w:ascii="Arial" w:hAnsi="Arial" w:cs="Arial"/>
          <w:color w:val="010000"/>
          <w:sz w:val="20"/>
        </w:rPr>
        <w:t>rate</w:t>
      </w:r>
      <w:r w:rsidRPr="008E7608">
        <w:rPr>
          <w:rFonts w:ascii="Arial" w:hAnsi="Arial" w:cs="Arial"/>
          <w:color w:val="010000"/>
          <w:sz w:val="20"/>
        </w:rPr>
        <w:t xml:space="preserve"> of wholesal</w:t>
      </w:r>
      <w:r w:rsidR="001C48F1" w:rsidRPr="008E7608">
        <w:rPr>
          <w:rFonts w:ascii="Arial" w:hAnsi="Arial" w:cs="Arial"/>
          <w:color w:val="010000"/>
          <w:sz w:val="20"/>
        </w:rPr>
        <w:t>e</w:t>
      </w:r>
      <w:r w:rsidRPr="008E7608">
        <w:rPr>
          <w:rFonts w:ascii="Arial" w:hAnsi="Arial" w:cs="Arial"/>
          <w:color w:val="010000"/>
          <w:sz w:val="20"/>
        </w:rPr>
        <w:t>. Strive to have inventory at about VND 8</w:t>
      </w:r>
      <w:r w:rsidR="009267B9" w:rsidRPr="008E7608">
        <w:rPr>
          <w:rFonts w:ascii="Arial" w:hAnsi="Arial" w:cs="Arial"/>
          <w:color w:val="010000"/>
          <w:sz w:val="20"/>
        </w:rPr>
        <w:t xml:space="preserve"> </w:t>
      </w:r>
      <w:r w:rsidRPr="008E7608">
        <w:rPr>
          <w:rFonts w:ascii="Arial" w:hAnsi="Arial" w:cs="Arial"/>
          <w:color w:val="010000"/>
          <w:sz w:val="20"/>
        </w:rPr>
        <w:t>by December 31, 2024, outstanding debt at ≤</w:t>
      </w:r>
      <w:r w:rsidR="009267B9" w:rsidRPr="008E7608">
        <w:rPr>
          <w:rFonts w:ascii="Arial" w:hAnsi="Arial" w:cs="Arial"/>
          <w:color w:val="010000"/>
          <w:sz w:val="20"/>
        </w:rPr>
        <w:t xml:space="preserve"> </w:t>
      </w:r>
      <w:r w:rsidRPr="008E7608">
        <w:rPr>
          <w:rFonts w:ascii="Arial" w:hAnsi="Arial" w:cs="Arial"/>
          <w:color w:val="010000"/>
          <w:sz w:val="20"/>
        </w:rPr>
        <w:t>VND 02 billion, and for stores</w:t>
      </w:r>
      <w:r w:rsidR="00541DEF" w:rsidRPr="008E7608">
        <w:rPr>
          <w:rFonts w:ascii="Arial" w:hAnsi="Arial" w:cs="Arial"/>
          <w:color w:val="010000"/>
          <w:sz w:val="20"/>
        </w:rPr>
        <w:t xml:space="preserve"> </w:t>
      </w:r>
      <w:r w:rsidRPr="008E7608">
        <w:rPr>
          <w:rFonts w:ascii="Arial" w:hAnsi="Arial" w:cs="Arial"/>
          <w:color w:val="010000"/>
          <w:sz w:val="20"/>
        </w:rPr>
        <w:t>≤ 4% of annual revenue.</w:t>
      </w:r>
    </w:p>
    <w:p w14:paraId="2D1FC4EE" w14:textId="77777777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Implement solutions to maintain and increase market share, especially the establishment of new </w:t>
      </w:r>
      <w:r w:rsidRPr="008E7608">
        <w:rPr>
          <w:rFonts w:ascii="Arial" w:hAnsi="Arial" w:cs="Arial"/>
          <w:color w:val="010000"/>
          <w:sz w:val="20"/>
        </w:rPr>
        <w:lastRenderedPageBreak/>
        <w:t>Stores or Agents in the Tam Quan area to maintain the market in the Northern Province.</w:t>
      </w:r>
    </w:p>
    <w:p w14:paraId="36D2AC16" w14:textId="1472AAF4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Maintain and promote advantages, overcome shortcomings and limitations. Continue to promote the distribution method </w:t>
      </w:r>
      <w:r w:rsidR="00541DEF" w:rsidRPr="008E7608">
        <w:rPr>
          <w:rFonts w:ascii="Arial" w:hAnsi="Arial" w:cs="Arial"/>
          <w:color w:val="010000"/>
          <w:sz w:val="20"/>
        </w:rPr>
        <w:t>via</w:t>
      </w:r>
      <w:r w:rsidRPr="008E7608">
        <w:rPr>
          <w:rFonts w:ascii="Arial" w:hAnsi="Arial" w:cs="Arial"/>
          <w:color w:val="010000"/>
          <w:sz w:val="20"/>
        </w:rPr>
        <w:t xml:space="preserve"> distribution channels such as schools to increase the </w:t>
      </w:r>
      <w:r w:rsidR="00541DEF" w:rsidRPr="008E7608">
        <w:rPr>
          <w:rFonts w:ascii="Arial" w:hAnsi="Arial" w:cs="Arial"/>
          <w:color w:val="010000"/>
          <w:sz w:val="20"/>
        </w:rPr>
        <w:t>rate</w:t>
      </w:r>
      <w:r w:rsidRPr="008E7608">
        <w:rPr>
          <w:rFonts w:ascii="Arial" w:hAnsi="Arial" w:cs="Arial"/>
          <w:color w:val="010000"/>
          <w:sz w:val="20"/>
        </w:rPr>
        <w:t xml:space="preserve"> of retail sales, maintain and develop good relations with the Department of Education and Training, and schools to coordinate to </w:t>
      </w:r>
      <w:r w:rsidR="00541DEF" w:rsidRPr="008E7608">
        <w:rPr>
          <w:rFonts w:ascii="Arial" w:hAnsi="Arial" w:cs="Arial"/>
          <w:color w:val="010000"/>
          <w:sz w:val="20"/>
        </w:rPr>
        <w:t>well implement</w:t>
      </w:r>
      <w:r w:rsidRPr="008E7608">
        <w:rPr>
          <w:rFonts w:ascii="Arial" w:hAnsi="Arial" w:cs="Arial"/>
          <w:color w:val="010000"/>
          <w:sz w:val="20"/>
        </w:rPr>
        <w:t xml:space="preserve"> the above method.</w:t>
      </w:r>
      <w:r w:rsidR="00541DEF" w:rsidRPr="008E7608">
        <w:rPr>
          <w:rFonts w:ascii="Arial" w:hAnsi="Arial" w:cs="Arial"/>
          <w:color w:val="010000"/>
          <w:sz w:val="20"/>
        </w:rPr>
        <w:t xml:space="preserve"> </w:t>
      </w:r>
    </w:p>
    <w:p w14:paraId="4B20A8B9" w14:textId="77777777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Strictly follow the direction from Vietnam Education Publishing House Limited Company and cooperate with wholesale companies in implementing solutions for publishing new books under General Education Program 2018.</w:t>
      </w:r>
    </w:p>
    <w:p w14:paraId="3EF5AE27" w14:textId="77777777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Research and find solutions to promote the supply of book replacement equipment, especially Math and Vietnamese Practice Sets for classes, and increase equipment revenue;</w:t>
      </w:r>
    </w:p>
    <w:p w14:paraId="7226EC0D" w14:textId="579E3E4F" w:rsidR="00B8049F" w:rsidRPr="008E7608" w:rsidRDefault="007601D5" w:rsidP="00F3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Continue to maintain and further promote the full exploitation of the Company's advantages; especially at 219 Nguyen Lu, </w:t>
      </w:r>
      <w:proofErr w:type="spellStart"/>
      <w:r w:rsidRPr="008E7608">
        <w:rPr>
          <w:rFonts w:ascii="Arial" w:hAnsi="Arial" w:cs="Arial"/>
          <w:color w:val="010000"/>
          <w:sz w:val="20"/>
        </w:rPr>
        <w:t>Quy</w:t>
      </w:r>
      <w:proofErr w:type="spellEnd"/>
      <w:r w:rsidRPr="008E760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E7608">
        <w:rPr>
          <w:rFonts w:ascii="Arial" w:hAnsi="Arial" w:cs="Arial"/>
          <w:color w:val="010000"/>
          <w:sz w:val="20"/>
        </w:rPr>
        <w:t>Nhon</w:t>
      </w:r>
      <w:proofErr w:type="spellEnd"/>
      <w:r w:rsidRPr="008E7608">
        <w:rPr>
          <w:rFonts w:ascii="Arial" w:hAnsi="Arial" w:cs="Arial"/>
          <w:color w:val="010000"/>
          <w:sz w:val="20"/>
        </w:rPr>
        <w:t xml:space="preserve"> City such as:</w:t>
      </w:r>
      <w:r w:rsidR="009267B9" w:rsidRPr="008E7608">
        <w:rPr>
          <w:rFonts w:ascii="Arial" w:hAnsi="Arial" w:cs="Arial"/>
          <w:color w:val="010000"/>
          <w:sz w:val="20"/>
        </w:rPr>
        <w:t xml:space="preserve"> </w:t>
      </w:r>
      <w:r w:rsidRPr="008E7608">
        <w:rPr>
          <w:rFonts w:ascii="Arial" w:hAnsi="Arial" w:cs="Arial"/>
          <w:color w:val="010000"/>
          <w:sz w:val="20"/>
        </w:rPr>
        <w:t>lease; joint venture</w:t>
      </w:r>
      <w:proofErr w:type="gramStart"/>
      <w:r w:rsidRPr="008E7608">
        <w:rPr>
          <w:rFonts w:ascii="Arial" w:hAnsi="Arial" w:cs="Arial"/>
          <w:color w:val="010000"/>
          <w:sz w:val="20"/>
        </w:rPr>
        <w:t>,,...</w:t>
      </w:r>
      <w:proofErr w:type="gramEnd"/>
      <w:r w:rsidRPr="008E7608">
        <w:rPr>
          <w:rFonts w:ascii="Arial" w:hAnsi="Arial" w:cs="Arial"/>
          <w:color w:val="010000"/>
          <w:sz w:val="20"/>
        </w:rPr>
        <w:t>, to increase revenue and income.</w:t>
      </w:r>
    </w:p>
    <w:p w14:paraId="5A3A9F6A" w14:textId="5882E682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Article 7: Approve the plan </w:t>
      </w:r>
      <w:r w:rsidR="00541DEF" w:rsidRPr="008E7608">
        <w:rPr>
          <w:rFonts w:ascii="Arial" w:hAnsi="Arial" w:cs="Arial"/>
          <w:color w:val="010000"/>
          <w:sz w:val="20"/>
        </w:rPr>
        <w:t xml:space="preserve">on </w:t>
      </w:r>
      <w:r w:rsidRPr="008E7608">
        <w:rPr>
          <w:rFonts w:ascii="Arial" w:hAnsi="Arial" w:cs="Arial"/>
          <w:color w:val="010000"/>
          <w:sz w:val="20"/>
        </w:rPr>
        <w:t xml:space="preserve">remuneration </w:t>
      </w:r>
      <w:r w:rsidR="00541DEF" w:rsidRPr="008E7608">
        <w:rPr>
          <w:rFonts w:ascii="Arial" w:hAnsi="Arial" w:cs="Arial"/>
          <w:color w:val="010000"/>
          <w:sz w:val="20"/>
        </w:rPr>
        <w:t>for</w:t>
      </w:r>
      <w:r w:rsidRPr="008E7608">
        <w:rPr>
          <w:rFonts w:ascii="Arial" w:hAnsi="Arial" w:cs="Arial"/>
          <w:color w:val="010000"/>
          <w:sz w:val="20"/>
        </w:rPr>
        <w:t xml:space="preserve"> the Board of Directors and the Supervisory Board in 2024</w:t>
      </w:r>
    </w:p>
    <w:p w14:paraId="1602868B" w14:textId="4C2A32BE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The remuneration for the Board of Directors and</w:t>
      </w:r>
      <w:r w:rsidR="00541DEF" w:rsidRPr="008E7608">
        <w:rPr>
          <w:rFonts w:ascii="Arial" w:hAnsi="Arial" w:cs="Arial"/>
          <w:color w:val="010000"/>
          <w:sz w:val="20"/>
        </w:rPr>
        <w:t xml:space="preserve"> the</w:t>
      </w:r>
      <w:r w:rsidRPr="008E7608">
        <w:rPr>
          <w:rFonts w:ascii="Arial" w:hAnsi="Arial" w:cs="Arial"/>
          <w:color w:val="010000"/>
          <w:sz w:val="20"/>
        </w:rPr>
        <w:t xml:space="preserve"> Supervisory Board is an average of VND 1,000,000</w:t>
      </w:r>
      <w:r w:rsidR="00541DEF" w:rsidRPr="008E7608">
        <w:rPr>
          <w:rFonts w:ascii="Arial" w:hAnsi="Arial" w:cs="Arial"/>
          <w:color w:val="010000"/>
          <w:sz w:val="20"/>
        </w:rPr>
        <w:t>/</w:t>
      </w:r>
      <w:r w:rsidRPr="008E7608">
        <w:rPr>
          <w:rFonts w:ascii="Arial" w:hAnsi="Arial" w:cs="Arial"/>
          <w:color w:val="010000"/>
          <w:sz w:val="20"/>
        </w:rPr>
        <w:t>person</w:t>
      </w:r>
      <w:r w:rsidR="00541DEF" w:rsidRPr="008E7608">
        <w:rPr>
          <w:rFonts w:ascii="Arial" w:hAnsi="Arial" w:cs="Arial"/>
          <w:color w:val="010000"/>
          <w:sz w:val="20"/>
        </w:rPr>
        <w:t>/</w:t>
      </w:r>
      <w:r w:rsidRPr="008E7608">
        <w:rPr>
          <w:rFonts w:ascii="Arial" w:hAnsi="Arial" w:cs="Arial"/>
          <w:color w:val="010000"/>
          <w:sz w:val="20"/>
        </w:rPr>
        <w:t xml:space="preserve">month. Total expected </w:t>
      </w:r>
      <w:r w:rsidR="00541DEF" w:rsidRPr="008E7608">
        <w:rPr>
          <w:rFonts w:ascii="Arial" w:hAnsi="Arial" w:cs="Arial"/>
          <w:color w:val="010000"/>
          <w:sz w:val="20"/>
        </w:rPr>
        <w:t xml:space="preserve">remuneration </w:t>
      </w:r>
      <w:r w:rsidRPr="008E7608">
        <w:rPr>
          <w:rFonts w:ascii="Arial" w:hAnsi="Arial" w:cs="Arial"/>
          <w:color w:val="010000"/>
          <w:sz w:val="20"/>
        </w:rPr>
        <w:t>is about VND 96,000,000.</w:t>
      </w:r>
      <w:r w:rsidR="00541DEF" w:rsidRPr="008E7608">
        <w:rPr>
          <w:rFonts w:ascii="Arial" w:hAnsi="Arial" w:cs="Arial"/>
          <w:color w:val="010000"/>
          <w:sz w:val="20"/>
        </w:rPr>
        <w:t xml:space="preserve"> </w:t>
      </w:r>
    </w:p>
    <w:p w14:paraId="79F03E96" w14:textId="5B59F39F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Article 8: Approve the </w:t>
      </w:r>
      <w:r w:rsidR="00541DEF" w:rsidRPr="008E7608">
        <w:rPr>
          <w:rFonts w:ascii="Arial" w:hAnsi="Arial" w:cs="Arial"/>
          <w:color w:val="010000"/>
          <w:sz w:val="20"/>
        </w:rPr>
        <w:t>R</w:t>
      </w:r>
      <w:r w:rsidRPr="008E7608">
        <w:rPr>
          <w:rFonts w:ascii="Arial" w:hAnsi="Arial" w:cs="Arial"/>
          <w:color w:val="010000"/>
          <w:sz w:val="20"/>
        </w:rPr>
        <w:t>eport of the Supervisory Board in 2023</w:t>
      </w:r>
    </w:p>
    <w:p w14:paraId="109DF442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Article 9: Approve the authorization for the Board of Directors</w:t>
      </w:r>
    </w:p>
    <w:p w14:paraId="16B053E2" w14:textId="2E563599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Approve the salary unit price </w:t>
      </w:r>
      <w:r w:rsidR="00541DEF" w:rsidRPr="008E7608">
        <w:rPr>
          <w:rFonts w:ascii="Arial" w:hAnsi="Arial" w:cs="Arial"/>
          <w:color w:val="010000"/>
          <w:sz w:val="20"/>
        </w:rPr>
        <w:t xml:space="preserve">in </w:t>
      </w:r>
      <w:r w:rsidRPr="008E7608">
        <w:rPr>
          <w:rFonts w:ascii="Arial" w:hAnsi="Arial" w:cs="Arial"/>
          <w:color w:val="010000"/>
          <w:sz w:val="20"/>
        </w:rPr>
        <w:t>2024</w:t>
      </w:r>
    </w:p>
    <w:p w14:paraId="058EB8A8" w14:textId="3C5305B9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Select an audit company with sufficient standards and competencies in accordance with the Government regulations to audit the Financial Statements 2024.</w:t>
      </w:r>
    </w:p>
    <w:p w14:paraId="4F4EB74F" w14:textId="5E9C9F7A" w:rsidR="00B8049F" w:rsidRPr="008E7608" w:rsidRDefault="007601D5" w:rsidP="00F32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Authorize the Board of Directors to </w:t>
      </w:r>
      <w:r w:rsidR="00541DEF" w:rsidRPr="008E7608">
        <w:rPr>
          <w:rFonts w:ascii="Arial" w:hAnsi="Arial" w:cs="Arial"/>
          <w:color w:val="010000"/>
          <w:sz w:val="20"/>
        </w:rPr>
        <w:t>approve</w:t>
      </w:r>
      <w:r w:rsidRPr="008E7608">
        <w:rPr>
          <w:rFonts w:ascii="Arial" w:hAnsi="Arial" w:cs="Arial"/>
          <w:color w:val="010000"/>
          <w:sz w:val="20"/>
        </w:rPr>
        <w:t xml:space="preserve"> on the </w:t>
      </w:r>
      <w:r w:rsidR="008E7608">
        <w:rPr>
          <w:rFonts w:ascii="Arial" w:hAnsi="Arial" w:cs="Arial"/>
          <w:color w:val="010000"/>
          <w:sz w:val="20"/>
        </w:rPr>
        <w:t>Manager’s</w:t>
      </w:r>
      <w:r w:rsidRPr="008E7608">
        <w:rPr>
          <w:rFonts w:ascii="Arial" w:hAnsi="Arial" w:cs="Arial"/>
          <w:color w:val="010000"/>
          <w:sz w:val="20"/>
        </w:rPr>
        <w:t xml:space="preserve"> utilization of assets to mortgage the bank and ensure </w:t>
      </w:r>
      <w:r w:rsidR="00541DEF" w:rsidRPr="008E7608">
        <w:rPr>
          <w:rFonts w:ascii="Arial" w:hAnsi="Arial" w:cs="Arial"/>
          <w:color w:val="010000"/>
          <w:sz w:val="20"/>
        </w:rPr>
        <w:t>capital borrowing</w:t>
      </w:r>
      <w:r w:rsidRPr="008E7608">
        <w:rPr>
          <w:rFonts w:ascii="Arial" w:hAnsi="Arial" w:cs="Arial"/>
          <w:color w:val="010000"/>
          <w:sz w:val="20"/>
        </w:rPr>
        <w:t xml:space="preserve"> for production and business activities in accordance with the State's regulations and the </w:t>
      </w:r>
      <w:r w:rsidR="00541DEF" w:rsidRPr="008E7608">
        <w:rPr>
          <w:rFonts w:ascii="Arial" w:hAnsi="Arial" w:cs="Arial"/>
          <w:color w:val="010000"/>
          <w:sz w:val="20"/>
        </w:rPr>
        <w:t>C</w:t>
      </w:r>
      <w:r w:rsidRPr="008E7608">
        <w:rPr>
          <w:rFonts w:ascii="Arial" w:hAnsi="Arial" w:cs="Arial"/>
          <w:color w:val="010000"/>
          <w:sz w:val="20"/>
        </w:rPr>
        <w:t>ompany's</w:t>
      </w:r>
      <w:r w:rsidR="00541DEF" w:rsidRPr="008E7608">
        <w:rPr>
          <w:rFonts w:ascii="Arial" w:hAnsi="Arial" w:cs="Arial"/>
          <w:color w:val="010000"/>
          <w:sz w:val="20"/>
        </w:rPr>
        <w:t xml:space="preserve"> Charter</w:t>
      </w:r>
      <w:r w:rsidR="009267B9" w:rsidRPr="008E7608">
        <w:rPr>
          <w:rFonts w:ascii="Arial" w:hAnsi="Arial" w:cs="Arial"/>
          <w:color w:val="010000"/>
          <w:sz w:val="20"/>
        </w:rPr>
        <w:t>;</w:t>
      </w:r>
    </w:p>
    <w:p w14:paraId="19DB26F8" w14:textId="322CDC98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 xml:space="preserve">This General Mandate </w:t>
      </w:r>
      <w:r w:rsidR="00541DEF" w:rsidRPr="008E7608">
        <w:rPr>
          <w:rFonts w:ascii="Arial" w:hAnsi="Arial" w:cs="Arial"/>
          <w:color w:val="010000"/>
          <w:sz w:val="20"/>
        </w:rPr>
        <w:t>is</w:t>
      </w:r>
      <w:r w:rsidRPr="008E7608">
        <w:rPr>
          <w:rFonts w:ascii="Arial" w:hAnsi="Arial" w:cs="Arial"/>
          <w:color w:val="010000"/>
          <w:sz w:val="20"/>
        </w:rPr>
        <w:t xml:space="preserve"> approved by the Annual General Meeting of Shareholders 2024 of </w:t>
      </w:r>
      <w:proofErr w:type="spellStart"/>
      <w:r w:rsidRPr="008E7608">
        <w:rPr>
          <w:rFonts w:ascii="Arial" w:hAnsi="Arial" w:cs="Arial"/>
          <w:color w:val="010000"/>
          <w:sz w:val="20"/>
        </w:rPr>
        <w:t>Binh</w:t>
      </w:r>
      <w:proofErr w:type="spellEnd"/>
      <w:r w:rsidRPr="008E760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E7608">
        <w:rPr>
          <w:rFonts w:ascii="Arial" w:hAnsi="Arial" w:cs="Arial"/>
          <w:color w:val="010000"/>
          <w:sz w:val="20"/>
        </w:rPr>
        <w:t>Dinh</w:t>
      </w:r>
      <w:proofErr w:type="spellEnd"/>
      <w:r w:rsidRPr="008E7608">
        <w:rPr>
          <w:rFonts w:ascii="Arial" w:hAnsi="Arial" w:cs="Arial"/>
          <w:color w:val="010000"/>
          <w:sz w:val="20"/>
        </w:rPr>
        <w:t xml:space="preserve"> Book and Equipment Joint Stock Company at the meeting</w:t>
      </w:r>
      <w:r w:rsidR="008E7608">
        <w:rPr>
          <w:rFonts w:ascii="Arial" w:hAnsi="Arial" w:cs="Arial"/>
          <w:color w:val="010000"/>
          <w:sz w:val="20"/>
        </w:rPr>
        <w:t>.</w:t>
      </w:r>
    </w:p>
    <w:p w14:paraId="0772C6B3" w14:textId="77777777" w:rsidR="00B8049F" w:rsidRPr="008E7608" w:rsidRDefault="007601D5" w:rsidP="00F32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7608">
        <w:rPr>
          <w:rFonts w:ascii="Arial" w:hAnsi="Arial" w:cs="Arial"/>
          <w:color w:val="010000"/>
          <w:sz w:val="20"/>
        </w:rPr>
        <w:t>This General Mandate takes effect from March 28, 2024.</w:t>
      </w:r>
      <w:bookmarkStart w:id="1" w:name="_GoBack"/>
      <w:bookmarkEnd w:id="1"/>
    </w:p>
    <w:sectPr w:rsidR="00B8049F" w:rsidRPr="008E7608" w:rsidSect="00536FE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D71"/>
    <w:multiLevelType w:val="multilevel"/>
    <w:tmpl w:val="3C142A78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D40E8D"/>
    <w:multiLevelType w:val="multilevel"/>
    <w:tmpl w:val="C1B600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0DD1675"/>
    <w:multiLevelType w:val="multilevel"/>
    <w:tmpl w:val="50DA4E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F"/>
    <w:rsid w:val="001C48F1"/>
    <w:rsid w:val="00536FE2"/>
    <w:rsid w:val="00541DEF"/>
    <w:rsid w:val="007601D5"/>
    <w:rsid w:val="008E7608"/>
    <w:rsid w:val="009267B9"/>
    <w:rsid w:val="00B8049F"/>
    <w:rsid w:val="00EC418F"/>
    <w:rsid w:val="00F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C8EE"/>
  <w15:docId w15:val="{77B894FD-18AD-4848-AD05-F3D56AFB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lang w:eastAsia="vi-VN" w:bidi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qFormat/>
    <w:pPr>
      <w:ind w:left="170" w:firstLine="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customStyle="1" w:styleId="Other0">
    <w:name w:val="Other"/>
    <w:basedOn w:val="Normal"/>
    <w:link w:val="Othe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470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color w:val="CF4A56"/>
      <w:sz w:val="20"/>
      <w:szCs w:val="2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qFormat/>
    <w:pPr>
      <w:ind w:left="4620"/>
      <w:outlineLvl w:val="0"/>
    </w:pPr>
    <w:rPr>
      <w:rFonts w:ascii="Arial" w:eastAsia="Arial" w:hAnsi="Arial" w:cs="Arial"/>
      <w:b/>
      <w:bCs/>
      <w:color w:val="CF4A56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iocFkoNkB5y7G6TFTqGj4Z0+RA==">CgMxLjAyCGguZ2pkZ3hzMgppZC4zMGowemxsMgppZC4xZm9iOXRlMgppZC4zem55c2g3MgppZC4yZXQ5MnAwMglpZC50eWpjd3QyCmlkLjNkeTZ2a20yCmlkLjF0M2g1c2YyCmlkLjRkMzRvZzgyCmlkLjJzOGV5bzEyCmlkLjE3ZHA4dnUyCmlkLjNyZGNyam4yCmlkLjI2aW4xcmcyCWlkLmxueGJ6OTIKaWQuMzVua3VuMjIKaWQuMWtzdjR1djIKaWQuNDRzaW5pbzgAciExWUFnNkdCSWNWQlJXMVVCU1NsOUpRSWxRZFlydFh3M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Hoang Phuong Thao</cp:lastModifiedBy>
  <cp:revision>11</cp:revision>
  <dcterms:created xsi:type="dcterms:W3CDTF">2024-04-09T01:31:00Z</dcterms:created>
  <dcterms:modified xsi:type="dcterms:W3CDTF">2024-04-10T03:57:00Z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B6ED2696B2B14FC38461CFB3AFCAC5CA_12</vt:lpwstr>
  </property>
  <property fmtid="{D5CDD505-2E9C-101B-9397-08002B2CF9AE}" pid="4" name="GrammarlyDocumentId">
    <vt:lpwstr>fffa92480fe9a11bb1fae97729bcc06d94ad86e822d7b06ef9666645343b9075</vt:lpwstr>
  </property>
</Properties>
</file>