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5E5A6" w14:textId="5124B7E9" w:rsidR="006115DC" w:rsidRPr="00704241" w:rsidRDefault="00F13D97" w:rsidP="0088535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04241">
        <w:rPr>
          <w:rFonts w:ascii="Arial" w:hAnsi="Arial" w:cs="Arial"/>
          <w:b/>
          <w:bCs/>
          <w:color w:val="010000"/>
          <w:sz w:val="20"/>
        </w:rPr>
        <w:t>C21:</w:t>
      </w:r>
      <w:r w:rsidRPr="00704241">
        <w:rPr>
          <w:rFonts w:ascii="Arial" w:hAnsi="Arial" w:cs="Arial"/>
          <w:b/>
          <w:color w:val="010000"/>
          <w:sz w:val="20"/>
        </w:rPr>
        <w:t xml:space="preserve"> Expla</w:t>
      </w:r>
      <w:r w:rsidR="0088535C">
        <w:rPr>
          <w:rFonts w:ascii="Arial" w:hAnsi="Arial" w:cs="Arial"/>
          <w:b/>
          <w:color w:val="010000"/>
          <w:sz w:val="20"/>
        </w:rPr>
        <w:t>nation on fluctuation in profit</w:t>
      </w:r>
    </w:p>
    <w:p w14:paraId="1F87C71B" w14:textId="023185B6" w:rsidR="006115DC" w:rsidRPr="00704241" w:rsidRDefault="00F13D97" w:rsidP="0088535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241">
        <w:rPr>
          <w:rFonts w:ascii="Arial" w:hAnsi="Arial" w:cs="Arial"/>
          <w:color w:val="010000"/>
          <w:sz w:val="20"/>
        </w:rPr>
        <w:t>On March 29, 2024, Century 21 Joint Stock Company announced Official Dispatch No.</w:t>
      </w:r>
      <w:r w:rsidR="00704241" w:rsidRPr="00704241">
        <w:rPr>
          <w:rFonts w:ascii="Arial" w:hAnsi="Arial" w:cs="Arial"/>
          <w:color w:val="010000"/>
          <w:sz w:val="20"/>
        </w:rPr>
        <w:t xml:space="preserve"> </w:t>
      </w:r>
      <w:r w:rsidRPr="00704241">
        <w:rPr>
          <w:rFonts w:ascii="Arial" w:hAnsi="Arial" w:cs="Arial"/>
          <w:color w:val="010000"/>
          <w:sz w:val="20"/>
        </w:rPr>
        <w:t>16/2024/CV-C21 on explaining the profit after tax of the Consolidated Financial Statements 2023 changing by 10% or more compared to last year as follows:</w:t>
      </w:r>
    </w:p>
    <w:tbl>
      <w:tblPr>
        <w:tblStyle w:val="a"/>
        <w:tblW w:w="5000" w:type="pct"/>
        <w:tblLook w:val="0000" w:firstRow="0" w:lastRow="0" w:firstColumn="0" w:lastColumn="0" w:noHBand="0" w:noVBand="0"/>
      </w:tblPr>
      <w:tblGrid>
        <w:gridCol w:w="2240"/>
        <w:gridCol w:w="1795"/>
        <w:gridCol w:w="1770"/>
        <w:gridCol w:w="2004"/>
        <w:gridCol w:w="1210"/>
      </w:tblGrid>
      <w:tr w:rsidR="006115DC" w:rsidRPr="00704241" w14:paraId="1368C44F" w14:textId="77777777" w:rsidTr="00F13D97">
        <w:tc>
          <w:tcPr>
            <w:tcW w:w="124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748883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Item</w:t>
            </w:r>
          </w:p>
        </w:tc>
        <w:tc>
          <w:tcPr>
            <w:tcW w:w="99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A609CA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In 2023</w:t>
            </w:r>
          </w:p>
        </w:tc>
        <w:tc>
          <w:tcPr>
            <w:tcW w:w="98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D2826C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In 2022</w:t>
            </w:r>
          </w:p>
        </w:tc>
        <w:tc>
          <w:tcPr>
            <w:tcW w:w="178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E21C6A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Difference</w:t>
            </w:r>
          </w:p>
        </w:tc>
      </w:tr>
      <w:tr w:rsidR="006115DC" w:rsidRPr="00704241" w14:paraId="1C606889" w14:textId="77777777" w:rsidTr="00F13D97">
        <w:tc>
          <w:tcPr>
            <w:tcW w:w="124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3FCE36" w14:textId="77777777" w:rsidR="006115DC" w:rsidRPr="00704241" w:rsidRDefault="006115DC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D6BA57" w14:textId="77777777" w:rsidR="006115DC" w:rsidRPr="00704241" w:rsidRDefault="006115DC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B79BCF" w14:textId="77777777" w:rsidR="006115DC" w:rsidRPr="00704241" w:rsidRDefault="006115DC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E125F2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Value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799545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Rate</w:t>
            </w:r>
          </w:p>
        </w:tc>
      </w:tr>
      <w:tr w:rsidR="006115DC" w:rsidRPr="00704241" w14:paraId="30570A55" w14:textId="77777777" w:rsidTr="00F13D97">
        <w:tc>
          <w:tcPr>
            <w:tcW w:w="124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971BE6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Total revenue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160F02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96,095,937,563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4AB25D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75,945,159,968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A996B1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20,150,777,595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06D645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26.53%</w:t>
            </w:r>
          </w:p>
        </w:tc>
      </w:tr>
      <w:tr w:rsidR="006115DC" w:rsidRPr="00704241" w14:paraId="7C9F956E" w14:textId="77777777" w:rsidTr="00F13D97">
        <w:tc>
          <w:tcPr>
            <w:tcW w:w="124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341C9F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Total expenses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3ACD03" w14:textId="25C785D9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79,688,533</w:t>
            </w:r>
            <w:r w:rsidR="00704241" w:rsidRPr="00704241">
              <w:rPr>
                <w:rFonts w:ascii="Arial" w:hAnsi="Arial" w:cs="Arial"/>
                <w:color w:val="010000"/>
                <w:sz w:val="20"/>
              </w:rPr>
              <w:t>,</w:t>
            </w:r>
            <w:r w:rsidRPr="00704241">
              <w:rPr>
                <w:rFonts w:ascii="Arial" w:hAnsi="Arial" w:cs="Arial"/>
                <w:color w:val="010000"/>
                <w:sz w:val="20"/>
              </w:rPr>
              <w:t>011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D7D058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73,006,387,920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609B29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6,682,145,091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2D298B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9.15%</w:t>
            </w:r>
          </w:p>
        </w:tc>
      </w:tr>
      <w:tr w:rsidR="006115DC" w:rsidRPr="00704241" w14:paraId="1652FEB6" w14:textId="77777777" w:rsidTr="00F13D97">
        <w:tc>
          <w:tcPr>
            <w:tcW w:w="124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34984C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C34E7D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16,407,404,552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A6D1B3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2,938,772,048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C79405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13,468,632,504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867568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458.31%</w:t>
            </w:r>
          </w:p>
        </w:tc>
      </w:tr>
      <w:tr w:rsidR="006115DC" w:rsidRPr="00704241" w14:paraId="5745D4CF" w14:textId="77777777" w:rsidTr="00F13D97"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023D20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EFA029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14,106,892,321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E00CD3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1,652,196,752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258E2E0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12,454,695,569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049E9E" w14:textId="77777777" w:rsidR="006115DC" w:rsidRPr="00704241" w:rsidRDefault="00F13D97" w:rsidP="0088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04241">
              <w:rPr>
                <w:rFonts w:ascii="Arial" w:hAnsi="Arial" w:cs="Arial"/>
                <w:color w:val="010000"/>
                <w:sz w:val="20"/>
              </w:rPr>
              <w:t>753.83%</w:t>
            </w:r>
          </w:p>
        </w:tc>
      </w:tr>
    </w:tbl>
    <w:p w14:paraId="2D01F8FE" w14:textId="6AB45E69" w:rsidR="006115DC" w:rsidRPr="00704241" w:rsidRDefault="0088535C" w:rsidP="008853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15"/>
          <w:tab w:val="left" w:pos="102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Revenue in 2023 in</w:t>
      </w:r>
      <w:r w:rsidR="00F13D97" w:rsidRPr="00704241">
        <w:rPr>
          <w:rFonts w:ascii="Arial" w:hAnsi="Arial" w:cs="Arial"/>
          <w:color w:val="010000"/>
          <w:sz w:val="20"/>
        </w:rPr>
        <w:t>creased by VND 11.351 billion (equivalent to 16.76%) over the same period last year, cost of goods sold decreased by VND 0.045 billion (equivalent to 0.15%), selling expenses decreased by VND 0.218 billion (equivalent to 4.03%), general and administrative expenses decreased by VND 1.588 billion (equivalent to 7.34%) over the same period in 2022.</w:t>
      </w:r>
      <w:r w:rsidR="00F13D97" w:rsidRPr="00704241">
        <w:rPr>
          <w:rFonts w:ascii="Arial" w:hAnsi="Arial" w:cs="Arial"/>
          <w:color w:val="010000"/>
          <w:sz w:val="20"/>
        </w:rPr>
        <w:tab/>
      </w:r>
    </w:p>
    <w:p w14:paraId="3FBA026A" w14:textId="243092E2" w:rsidR="006115DC" w:rsidRPr="00704241" w:rsidRDefault="00F13D97" w:rsidP="008853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15"/>
          <w:tab w:val="left" w:pos="102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241">
        <w:rPr>
          <w:rFonts w:ascii="Arial" w:hAnsi="Arial" w:cs="Arial"/>
          <w:color w:val="010000"/>
          <w:sz w:val="20"/>
        </w:rPr>
        <w:t xml:space="preserve">Financial revenue in 2023 </w:t>
      </w:r>
      <w:r w:rsidR="00704241" w:rsidRPr="00704241">
        <w:rPr>
          <w:rFonts w:ascii="Arial" w:hAnsi="Arial" w:cs="Arial"/>
          <w:color w:val="010000"/>
          <w:sz w:val="20"/>
        </w:rPr>
        <w:t>in</w:t>
      </w:r>
      <w:r w:rsidRPr="00704241">
        <w:rPr>
          <w:rFonts w:ascii="Arial" w:hAnsi="Arial" w:cs="Arial"/>
          <w:color w:val="010000"/>
          <w:sz w:val="20"/>
        </w:rPr>
        <w:t>creased by VND 9.160 billion (equivalent to</w:t>
      </w:r>
      <w:r w:rsidR="00BB3983">
        <w:rPr>
          <w:rFonts w:ascii="Arial" w:hAnsi="Arial" w:cs="Arial"/>
          <w:color w:val="010000"/>
          <w:sz w:val="20"/>
        </w:rPr>
        <w:t xml:space="preserve"> 127.22%), financial expenses in</w:t>
      </w:r>
      <w:r w:rsidRPr="00704241">
        <w:rPr>
          <w:rFonts w:ascii="Arial" w:hAnsi="Arial" w:cs="Arial"/>
          <w:color w:val="010000"/>
          <w:sz w:val="20"/>
        </w:rPr>
        <w:t>creased by VND 0.849 billion (equivalent to 9.82%) over the same period in 2022.</w:t>
      </w:r>
    </w:p>
    <w:p w14:paraId="5DFB63B0" w14:textId="616BE5F8" w:rsidR="006115DC" w:rsidRPr="00704241" w:rsidRDefault="00F13D97" w:rsidP="008853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15"/>
          <w:tab w:val="left" w:pos="102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241">
        <w:rPr>
          <w:rFonts w:ascii="Arial" w:hAnsi="Arial" w:cs="Arial"/>
          <w:color w:val="010000"/>
          <w:sz w:val="20"/>
        </w:rPr>
        <w:t xml:space="preserve">Losses in joint </w:t>
      </w:r>
      <w:r w:rsidR="00704241" w:rsidRPr="00704241">
        <w:rPr>
          <w:rFonts w:ascii="Arial" w:hAnsi="Arial" w:cs="Arial"/>
          <w:color w:val="010000"/>
          <w:sz w:val="20"/>
        </w:rPr>
        <w:t>ventures</w:t>
      </w:r>
      <w:r w:rsidRPr="00704241">
        <w:rPr>
          <w:rFonts w:ascii="Arial" w:hAnsi="Arial" w:cs="Arial"/>
          <w:color w:val="010000"/>
          <w:sz w:val="20"/>
        </w:rPr>
        <w:t xml:space="preserve"> increased by </w:t>
      </w:r>
      <w:r w:rsidR="00704241" w:rsidRPr="00704241">
        <w:rPr>
          <w:rFonts w:ascii="Arial" w:hAnsi="Arial" w:cs="Arial"/>
          <w:color w:val="010000"/>
          <w:sz w:val="20"/>
        </w:rPr>
        <w:t xml:space="preserve">VND </w:t>
      </w:r>
      <w:r w:rsidRPr="00704241">
        <w:rPr>
          <w:rFonts w:ascii="Arial" w:hAnsi="Arial" w:cs="Arial"/>
          <w:color w:val="010000"/>
          <w:sz w:val="20"/>
        </w:rPr>
        <w:t>7</w:t>
      </w:r>
      <w:r w:rsidR="00704241" w:rsidRPr="00704241">
        <w:rPr>
          <w:rFonts w:ascii="Arial" w:hAnsi="Arial" w:cs="Arial"/>
          <w:color w:val="010000"/>
          <w:sz w:val="20"/>
        </w:rPr>
        <w:t>.</w:t>
      </w:r>
      <w:r w:rsidRPr="00704241">
        <w:rPr>
          <w:rFonts w:ascii="Arial" w:hAnsi="Arial" w:cs="Arial"/>
          <w:color w:val="010000"/>
          <w:sz w:val="20"/>
        </w:rPr>
        <w:t>527 billion (equivalent to 120.98%) compared to the same period in 2022</w:t>
      </w:r>
    </w:p>
    <w:p w14:paraId="102C4636" w14:textId="572DA9BB" w:rsidR="006115DC" w:rsidRPr="00704241" w:rsidRDefault="00F13D97" w:rsidP="008853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15"/>
          <w:tab w:val="left" w:pos="102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241">
        <w:rPr>
          <w:rFonts w:ascii="Arial" w:hAnsi="Arial" w:cs="Arial"/>
          <w:color w:val="010000"/>
          <w:sz w:val="20"/>
        </w:rPr>
        <w:t xml:space="preserve">Other incomes in 2023 </w:t>
      </w:r>
      <w:r w:rsidR="00704241" w:rsidRPr="00704241">
        <w:rPr>
          <w:rFonts w:ascii="Arial" w:hAnsi="Arial" w:cs="Arial"/>
          <w:color w:val="010000"/>
          <w:sz w:val="20"/>
        </w:rPr>
        <w:t>de</w:t>
      </w:r>
      <w:r w:rsidRPr="00704241">
        <w:rPr>
          <w:rFonts w:ascii="Arial" w:hAnsi="Arial" w:cs="Arial"/>
          <w:color w:val="010000"/>
          <w:sz w:val="20"/>
        </w:rPr>
        <w:t>creased by more than VND 0.361</w:t>
      </w:r>
      <w:r w:rsidR="00B85374">
        <w:rPr>
          <w:rFonts w:ascii="Arial" w:hAnsi="Arial" w:cs="Arial"/>
          <w:color w:val="010000"/>
          <w:sz w:val="20"/>
        </w:rPr>
        <w:t xml:space="preserve"> billion (equivalent to 35.36%).</w:t>
      </w:r>
      <w:bookmarkStart w:id="0" w:name="_GoBack"/>
      <w:bookmarkEnd w:id="0"/>
      <w:r w:rsidRPr="00704241">
        <w:rPr>
          <w:rFonts w:ascii="Arial" w:hAnsi="Arial" w:cs="Arial"/>
          <w:color w:val="010000"/>
          <w:sz w:val="20"/>
        </w:rPr>
        <w:t xml:space="preserve"> Other expenses </w:t>
      </w:r>
      <w:r w:rsidR="00704241" w:rsidRPr="00704241">
        <w:rPr>
          <w:rFonts w:ascii="Arial" w:hAnsi="Arial" w:cs="Arial"/>
          <w:color w:val="010000"/>
          <w:sz w:val="20"/>
        </w:rPr>
        <w:t>in</w:t>
      </w:r>
      <w:r w:rsidRPr="00704241">
        <w:rPr>
          <w:rFonts w:ascii="Arial" w:hAnsi="Arial" w:cs="Arial"/>
          <w:color w:val="010000"/>
          <w:sz w:val="20"/>
        </w:rPr>
        <w:t>creased by more than VND 0.157 billion (equivalent to 68.47%) over the same period in 2022.</w:t>
      </w:r>
    </w:p>
    <w:p w14:paraId="0D8E2EFB" w14:textId="432C67FF" w:rsidR="006115DC" w:rsidRPr="00704241" w:rsidRDefault="00F13D97" w:rsidP="0088535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04241">
        <w:rPr>
          <w:rFonts w:ascii="Arial" w:hAnsi="Arial" w:cs="Arial"/>
          <w:color w:val="010000"/>
          <w:sz w:val="20"/>
        </w:rPr>
        <w:t xml:space="preserve">As a result, the profit after tax in 2023 </w:t>
      </w:r>
      <w:r w:rsidR="00704241" w:rsidRPr="00704241">
        <w:rPr>
          <w:rFonts w:ascii="Arial" w:hAnsi="Arial" w:cs="Arial"/>
          <w:color w:val="010000"/>
          <w:sz w:val="20"/>
        </w:rPr>
        <w:t>in</w:t>
      </w:r>
      <w:r w:rsidRPr="00704241">
        <w:rPr>
          <w:rFonts w:ascii="Arial" w:hAnsi="Arial" w:cs="Arial"/>
          <w:color w:val="010000"/>
          <w:sz w:val="20"/>
        </w:rPr>
        <w:t>creased by 753.83% over the same period in 2022.</w:t>
      </w:r>
    </w:p>
    <w:sectPr w:rsidR="006115DC" w:rsidRPr="00704241" w:rsidSect="00CC0F9F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86533"/>
    <w:multiLevelType w:val="multilevel"/>
    <w:tmpl w:val="3314F90C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DC"/>
    <w:rsid w:val="006115DC"/>
    <w:rsid w:val="00704241"/>
    <w:rsid w:val="0088535C"/>
    <w:rsid w:val="00B85374"/>
    <w:rsid w:val="00BB3983"/>
    <w:rsid w:val="00CC0F9F"/>
    <w:rsid w:val="00F1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C417A"/>
  <w15:docId w15:val="{A6AE6004-5D6F-4CDF-9921-AF651439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7"/>
      <w:szCs w:val="17"/>
      <w:u w:val="none"/>
      <w:shd w:val="clear" w:color="auto" w:fill="auto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269" w:lineRule="auto"/>
      <w:ind w:firstLine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pPr>
      <w:spacing w:line="269" w:lineRule="auto"/>
      <w:ind w:firstLine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20">
    <w:name w:val="Body text (2)"/>
    <w:basedOn w:val="Normal"/>
    <w:link w:val="Bodytext2"/>
    <w:pPr>
      <w:spacing w:line="223" w:lineRule="auto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7HdyCRgsCQnaW2QaRZMIzcGsmw==">CgMxLjA4AHIhMU9NTXRPeDdpX094ZzBRTm5qbDd2S1p4T3dYMGF5OUND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6</cp:revision>
  <dcterms:created xsi:type="dcterms:W3CDTF">2024-04-08T04:22:00Z</dcterms:created>
  <dcterms:modified xsi:type="dcterms:W3CDTF">2024-04-09T08:52:00Z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07651ea36db1665a679ead46a059cbe88d3f4854ff465aa50913e08f4d0ad454</vt:lpwstr>
  </property>
</Properties>
</file>