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49CCB" w14:textId="77777777" w:rsidR="00454931" w:rsidRPr="00D509D0" w:rsidRDefault="00593474" w:rsidP="00D509D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509D0">
        <w:rPr>
          <w:rFonts w:ascii="Arial" w:hAnsi="Arial" w:cs="Arial"/>
          <w:b/>
          <w:color w:val="010000"/>
          <w:sz w:val="20"/>
          <w:szCs w:val="20"/>
        </w:rPr>
        <w:t>CAR: Board Resolution</w:t>
      </w:r>
    </w:p>
    <w:p w14:paraId="77DFF9F9" w14:textId="3DBF6980" w:rsidR="00454931" w:rsidRPr="00D509D0" w:rsidRDefault="00593474" w:rsidP="00D509D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 xml:space="preserve">On </w:t>
      </w:r>
      <w:r w:rsidR="00784062" w:rsidRPr="00D509D0">
        <w:rPr>
          <w:rFonts w:ascii="Arial" w:hAnsi="Arial" w:cs="Arial"/>
          <w:color w:val="010000"/>
          <w:sz w:val="20"/>
          <w:szCs w:val="20"/>
        </w:rPr>
        <w:t>April</w:t>
      </w:r>
      <w:r w:rsidRPr="00D509D0">
        <w:rPr>
          <w:rFonts w:ascii="Arial" w:hAnsi="Arial" w:cs="Arial"/>
          <w:color w:val="010000"/>
          <w:sz w:val="20"/>
          <w:szCs w:val="20"/>
        </w:rPr>
        <w:t xml:space="preserve"> 08, 2024, Tri Viet Education Group Joint Stock Company announced Resolution No. 01/2024/QD-HDQT as follows:</w:t>
      </w:r>
      <w:bookmarkStart w:id="0" w:name="_GoBack"/>
      <w:bookmarkEnd w:id="0"/>
    </w:p>
    <w:p w14:paraId="6685CAAD" w14:textId="77777777" w:rsidR="00454931" w:rsidRPr="00D509D0" w:rsidRDefault="00593474" w:rsidP="00D509D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‎‎Article 1. Change the Company's charter capital:</w:t>
      </w:r>
    </w:p>
    <w:p w14:paraId="35BD4D8D" w14:textId="77777777" w:rsidR="00454931" w:rsidRPr="00D509D0" w:rsidRDefault="00593474" w:rsidP="00D509D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Increase the Company’s charter capital as follows:</w:t>
      </w:r>
    </w:p>
    <w:p w14:paraId="3A54F9FB" w14:textId="77777777" w:rsidR="00454931" w:rsidRPr="00D509D0" w:rsidRDefault="00593474" w:rsidP="00D509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 xml:space="preserve">Registered charter capital: VND 32,000,000,000 </w:t>
      </w:r>
    </w:p>
    <w:p w14:paraId="6906F144" w14:textId="77777777" w:rsidR="00454931" w:rsidRPr="00D509D0" w:rsidRDefault="00593474" w:rsidP="00D509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30j0zll"/>
      <w:bookmarkEnd w:id="1"/>
      <w:r w:rsidRPr="00D509D0">
        <w:rPr>
          <w:rFonts w:ascii="Arial" w:hAnsi="Arial" w:cs="Arial"/>
          <w:color w:val="010000"/>
          <w:sz w:val="20"/>
          <w:szCs w:val="20"/>
        </w:rPr>
        <w:t>Charter capital after the change: VND 50,590,980,000</w:t>
      </w:r>
    </w:p>
    <w:p w14:paraId="4A62AACC" w14:textId="77777777" w:rsidR="00454931" w:rsidRPr="00D509D0" w:rsidRDefault="00593474" w:rsidP="00D509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Form of capital increase: There are 2 forms as follows:</w:t>
      </w:r>
    </w:p>
    <w:p w14:paraId="463F3FEE" w14:textId="2D86F27D" w:rsidR="00454931" w:rsidRPr="00D509D0" w:rsidRDefault="00593474" w:rsidP="00D50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74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Share issuance to pay dividends (according to Article 135 of the Law on Enterprises 2020) from undistributed</w:t>
      </w:r>
      <w:r w:rsidR="00784062" w:rsidRPr="00D509D0">
        <w:rPr>
          <w:rFonts w:ascii="Arial" w:hAnsi="Arial" w:cs="Arial"/>
          <w:color w:val="010000"/>
          <w:sz w:val="20"/>
          <w:szCs w:val="20"/>
        </w:rPr>
        <w:t xml:space="preserve"> profit after tax</w:t>
      </w:r>
      <w:r w:rsidRPr="00D509D0">
        <w:rPr>
          <w:rFonts w:ascii="Arial" w:hAnsi="Arial" w:cs="Arial"/>
          <w:color w:val="010000"/>
          <w:sz w:val="20"/>
          <w:szCs w:val="20"/>
        </w:rPr>
        <w:t xml:space="preserve"> at a rate of 20% to existing shareholders</w:t>
      </w:r>
    </w:p>
    <w:p w14:paraId="038475EA" w14:textId="77777777" w:rsidR="00454931" w:rsidRPr="00D509D0" w:rsidRDefault="00593474" w:rsidP="00D50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75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Share issuance to existing shareholders (according to Clause 1, Article 124 of the Law on Enterprises 2020)</w:t>
      </w:r>
    </w:p>
    <w:p w14:paraId="0BAC4D6E" w14:textId="77777777" w:rsidR="00454931" w:rsidRPr="00D509D0" w:rsidRDefault="00593474" w:rsidP="00D509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Time to change capital: April 03, 2024</w:t>
      </w:r>
    </w:p>
    <w:p w14:paraId="6C232A02" w14:textId="77777777" w:rsidR="00454931" w:rsidRPr="00D509D0" w:rsidRDefault="00593474" w:rsidP="00D509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Share information:</w:t>
      </w:r>
    </w:p>
    <w:p w14:paraId="1C0F7FA5" w14:textId="77777777" w:rsidR="00454931" w:rsidRPr="00D509D0" w:rsidRDefault="00593474" w:rsidP="00D509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Share par value: VND 10,000</w:t>
      </w:r>
    </w:p>
    <w:tbl>
      <w:tblPr>
        <w:tblStyle w:val="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6"/>
        <w:gridCol w:w="3237"/>
        <w:gridCol w:w="1361"/>
        <w:gridCol w:w="2021"/>
        <w:gridCol w:w="1711"/>
      </w:tblGrid>
      <w:tr w:rsidR="00454931" w:rsidRPr="00D509D0" w14:paraId="2AFC80E3" w14:textId="77777777" w:rsidTr="00593474">
        <w:trPr>
          <w:jc w:val="center"/>
        </w:trPr>
        <w:tc>
          <w:tcPr>
            <w:tcW w:w="38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AC98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b/>
                <w:color w:val="010000"/>
                <w:sz w:val="20"/>
                <w:szCs w:val="20"/>
              </w:rPr>
              <w:t>No.</w:t>
            </w:r>
          </w:p>
        </w:tc>
        <w:tc>
          <w:tcPr>
            <w:tcW w:w="179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09F9EB" w14:textId="4A73B474" w:rsidR="00454931" w:rsidRPr="00D509D0" w:rsidRDefault="00D509D0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b/>
                <w:color w:val="010000"/>
                <w:sz w:val="20"/>
                <w:szCs w:val="20"/>
              </w:rPr>
              <w:t>Type of share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C576C6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b/>
                <w:color w:val="010000"/>
                <w:sz w:val="20"/>
                <w:szCs w:val="20"/>
              </w:rPr>
              <w:t>Quantity</w:t>
            </w:r>
          </w:p>
        </w:tc>
        <w:tc>
          <w:tcPr>
            <w:tcW w:w="11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A71EF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b/>
                <w:color w:val="010000"/>
                <w:sz w:val="20"/>
                <w:szCs w:val="20"/>
              </w:rPr>
              <w:t>Value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A195CC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b/>
                <w:color w:val="010000"/>
                <w:sz w:val="20"/>
                <w:szCs w:val="20"/>
              </w:rPr>
              <w:t>Rate compared to the charter capital (%)</w:t>
            </w:r>
          </w:p>
        </w:tc>
      </w:tr>
      <w:tr w:rsidR="00454931" w:rsidRPr="00D509D0" w14:paraId="073A22DB" w14:textId="77777777" w:rsidTr="00593474">
        <w:trPr>
          <w:jc w:val="center"/>
        </w:trPr>
        <w:tc>
          <w:tcPr>
            <w:tcW w:w="38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94CC6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1</w:t>
            </w:r>
          </w:p>
        </w:tc>
        <w:tc>
          <w:tcPr>
            <w:tcW w:w="179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30646" w14:textId="12AA932B" w:rsidR="00454931" w:rsidRPr="00D509D0" w:rsidRDefault="00784062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 xml:space="preserve">Common </w:t>
            </w:r>
            <w:r w:rsidR="00593474" w:rsidRPr="00D509D0">
              <w:rPr>
                <w:rFonts w:ascii="Arial" w:hAnsi="Arial" w:cs="Arial"/>
                <w:color w:val="010000"/>
                <w:sz w:val="20"/>
                <w:szCs w:val="20"/>
              </w:rPr>
              <w:t>share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8463B3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5,059,098</w:t>
            </w:r>
          </w:p>
        </w:tc>
        <w:tc>
          <w:tcPr>
            <w:tcW w:w="11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1B3AE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50,590,980,000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6D22F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100</w:t>
            </w:r>
          </w:p>
        </w:tc>
      </w:tr>
      <w:tr w:rsidR="00454931" w:rsidRPr="00D509D0" w14:paraId="162AA3F9" w14:textId="77777777" w:rsidTr="00593474">
        <w:trPr>
          <w:jc w:val="center"/>
        </w:trPr>
        <w:tc>
          <w:tcPr>
            <w:tcW w:w="38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57CD80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2</w:t>
            </w:r>
          </w:p>
        </w:tc>
        <w:tc>
          <w:tcPr>
            <w:tcW w:w="179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38C34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Voting preferred shares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D68586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D4F55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927DB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54931" w:rsidRPr="00D509D0" w14:paraId="3DA5B042" w14:textId="77777777" w:rsidTr="00593474">
        <w:trPr>
          <w:jc w:val="center"/>
        </w:trPr>
        <w:tc>
          <w:tcPr>
            <w:tcW w:w="38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14FC2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3</w:t>
            </w:r>
          </w:p>
        </w:tc>
        <w:tc>
          <w:tcPr>
            <w:tcW w:w="179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BDD08B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Dividend preferred shares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64322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7A32A4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F57567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54931" w:rsidRPr="00D509D0" w14:paraId="3C82F318" w14:textId="77777777" w:rsidTr="00593474">
        <w:trPr>
          <w:jc w:val="center"/>
        </w:trPr>
        <w:tc>
          <w:tcPr>
            <w:tcW w:w="38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7A487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4</w:t>
            </w:r>
          </w:p>
        </w:tc>
        <w:tc>
          <w:tcPr>
            <w:tcW w:w="179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1F8CA2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Refundable preferred share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30887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B0F8A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9FFB92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54931" w:rsidRPr="00D509D0" w14:paraId="63800237" w14:textId="77777777" w:rsidTr="00593474">
        <w:trPr>
          <w:jc w:val="center"/>
        </w:trPr>
        <w:tc>
          <w:tcPr>
            <w:tcW w:w="380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4BE82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5</w:t>
            </w:r>
          </w:p>
        </w:tc>
        <w:tc>
          <w:tcPr>
            <w:tcW w:w="179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D2C16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Other preferred shares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911DF0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3640C7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FDBCC" w14:textId="77777777" w:rsidR="00454931" w:rsidRPr="00D509D0" w:rsidRDefault="00454931" w:rsidP="00D509D0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54931" w:rsidRPr="00D509D0" w14:paraId="2A0B15E5" w14:textId="77777777" w:rsidTr="00593474">
        <w:trPr>
          <w:jc w:val="center"/>
        </w:trPr>
        <w:tc>
          <w:tcPr>
            <w:tcW w:w="2175" w:type="pct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E1E168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Total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911C10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5,059,098</w:t>
            </w:r>
          </w:p>
        </w:tc>
        <w:tc>
          <w:tcPr>
            <w:tcW w:w="11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E5E04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50,590,980,000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98EE0" w14:textId="77777777" w:rsidR="00454931" w:rsidRPr="00D509D0" w:rsidRDefault="00593474" w:rsidP="00D5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509D0">
              <w:rPr>
                <w:rFonts w:ascii="Arial" w:hAnsi="Arial" w:cs="Arial"/>
                <w:color w:val="010000"/>
                <w:sz w:val="20"/>
                <w:szCs w:val="20"/>
              </w:rPr>
              <w:t>100</w:t>
            </w:r>
          </w:p>
        </w:tc>
      </w:tr>
    </w:tbl>
    <w:p w14:paraId="575425C0" w14:textId="77777777" w:rsidR="00454931" w:rsidRPr="00D509D0" w:rsidRDefault="00593474" w:rsidP="00D509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‎‎Article 2. Terms of enforcement</w:t>
      </w:r>
    </w:p>
    <w:p w14:paraId="52391B87" w14:textId="77777777" w:rsidR="00454931" w:rsidRPr="00D509D0" w:rsidRDefault="00593474" w:rsidP="00D509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Members of the Board of Directors, the Board of Managers, and relevant Departments of the Company are responsible for implementing this Resolution.</w:t>
      </w:r>
    </w:p>
    <w:p w14:paraId="3DB37278" w14:textId="7923A13A" w:rsidR="00454931" w:rsidRPr="00D509D0" w:rsidRDefault="00593474" w:rsidP="00D509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509D0">
        <w:rPr>
          <w:rFonts w:ascii="Arial" w:hAnsi="Arial" w:cs="Arial"/>
          <w:color w:val="010000"/>
          <w:sz w:val="20"/>
          <w:szCs w:val="20"/>
        </w:rPr>
        <w:t>The Resolution takes effect on the date of its signing.</w:t>
      </w:r>
    </w:p>
    <w:sectPr w:rsidR="00454931" w:rsidRPr="00D509D0" w:rsidSect="00593474"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4EB6"/>
    <w:multiLevelType w:val="multilevel"/>
    <w:tmpl w:val="03FE8F90"/>
    <w:lvl w:ilvl="0">
      <w:start w:val="1"/>
      <w:numFmt w:val="decimal"/>
      <w:lvlText w:val="%1."/>
      <w:lvlJc w:val="left"/>
      <w:pPr>
        <w:ind w:left="425" w:hanging="425"/>
      </w:pPr>
      <w:rPr>
        <w:b w:val="0"/>
        <w:i w:val="0"/>
        <w:sz w:val="20"/>
      </w:rPr>
    </w:lvl>
    <w:lvl w:ilvl="1">
      <w:start w:val="1"/>
      <w:numFmt w:val="bullet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start w:val="1"/>
      <w:numFmt w:val="bullet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FB828E9"/>
    <w:multiLevelType w:val="multilevel"/>
    <w:tmpl w:val="427CDC9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1"/>
    <w:rsid w:val="00454931"/>
    <w:rsid w:val="00593474"/>
    <w:rsid w:val="00784062"/>
    <w:rsid w:val="00D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54EB9"/>
  <w15:docId w15:val="{1F8BF915-A3E2-4048-A051-16FF9FB1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eastAsia="vi-VN" w:bidi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1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color w:val="DF6765"/>
      <w:sz w:val="20"/>
      <w:szCs w:val="20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spacing w:line="206" w:lineRule="auto"/>
    </w:pPr>
    <w:rPr>
      <w:rFonts w:ascii="Arial" w:eastAsia="Arial" w:hAnsi="Arial" w:cs="Arial"/>
      <w:color w:val="DF6765"/>
      <w:sz w:val="20"/>
      <w:szCs w:val="20"/>
    </w:rPr>
  </w:style>
  <w:style w:type="character" w:customStyle="1" w:styleId="Tiu2">
    <w:name w:val="Tiêu đề #2_"/>
    <w:basedOn w:val="DefaultParagraphFont"/>
    <w:link w:val="Tiu20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Tiu20">
    <w:name w:val="Tiêu đề #2"/>
    <w:basedOn w:val="Normal"/>
    <w:link w:val="Tiu2"/>
    <w:qFormat/>
    <w:pPr>
      <w:spacing w:after="14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/>
      <w:bCs/>
      <w:color w:val="DF6765"/>
      <w:sz w:val="17"/>
      <w:szCs w:val="17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pPr>
      <w:spacing w:before="80" w:line="295" w:lineRule="auto"/>
      <w:jc w:val="right"/>
    </w:pPr>
    <w:rPr>
      <w:rFonts w:ascii="Arial" w:eastAsia="Arial" w:hAnsi="Arial" w:cs="Arial"/>
      <w:b/>
      <w:bCs/>
      <w:color w:val="DF6765"/>
      <w:sz w:val="17"/>
      <w:szCs w:val="17"/>
    </w:rPr>
  </w:style>
  <w:style w:type="character" w:customStyle="1" w:styleId="Tiu1">
    <w:name w:val="Tiêu đề #1_"/>
    <w:basedOn w:val="DefaultParagraphFont"/>
    <w:link w:val="Tiu10"/>
    <w:qFormat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qFormat/>
    <w:pPr>
      <w:spacing w:after="420" w:line="43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sz w:val="15"/>
      <w:szCs w:val="15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qFormat/>
    <w:rPr>
      <w:rFonts w:ascii="Arial" w:eastAsia="Arial" w:hAnsi="Arial" w:cs="Arial"/>
      <w:sz w:val="15"/>
      <w:szCs w:val="15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Khc0">
    <w:name w:val="Khác"/>
    <w:basedOn w:val="Normal"/>
    <w:link w:val="Khc"/>
    <w:pPr>
      <w:spacing w:after="11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sz w:val="42"/>
      <w:szCs w:val="42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33" w:lineRule="auto"/>
      <w:ind w:firstLine="140"/>
    </w:pPr>
    <w:rPr>
      <w:rFonts w:ascii="Arial" w:eastAsia="Arial" w:hAnsi="Arial" w:cs="Arial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W6NhIv3I+4Zrp0RuVHGGZseZQ==">CgMxLjAyCWguMzBqMHpsbDgAciExMXRkRHBWTURGWkRtbnlDaEJqLWRBZEZaWVdYbFVpZWg=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LINH</dc:creator>
  <cp:lastModifiedBy>Nguyen Thi Quynh Trang</cp:lastModifiedBy>
  <cp:revision>5</cp:revision>
  <dcterms:created xsi:type="dcterms:W3CDTF">2024-04-09T03:33:00Z</dcterms:created>
  <dcterms:modified xsi:type="dcterms:W3CDTF">2024-04-10T08:19:00Z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71E564BD73FC4A35B7AC528D4EB50C69_12</vt:lpwstr>
  </property>
  <property fmtid="{D5CDD505-2E9C-101B-9397-08002B2CF9AE}" pid="4" name="GrammarlyDocumentId">
    <vt:lpwstr>b9ac6a3fa1c3d27f7335bb7b981f953ab1b57638c5a55b2cd55a99d4d97968bc</vt:lpwstr>
  </property>
</Properties>
</file>