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9DD2" w14:textId="77777777" w:rsidR="008D3019" w:rsidRPr="00A54508" w:rsidRDefault="00851C1A" w:rsidP="00851C1A">
      <w:pPr>
        <w:pBdr>
          <w:top w:val="nil"/>
          <w:left w:val="nil"/>
          <w:bottom w:val="nil"/>
          <w:right w:val="nil"/>
          <w:between w:val="nil"/>
        </w:pBdr>
        <w:tabs>
          <w:tab w:val="left" w:pos="661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A54508">
        <w:rPr>
          <w:rFonts w:ascii="Arial" w:hAnsi="Arial" w:cs="Arial"/>
          <w:b/>
          <w:color w:val="010000"/>
          <w:sz w:val="20"/>
        </w:rPr>
        <w:t>DHD: Board Resolution</w:t>
      </w:r>
    </w:p>
    <w:p w14:paraId="59E780D1" w14:textId="3F6EB383" w:rsidR="008D3019" w:rsidRPr="00A54508" w:rsidRDefault="00851C1A" w:rsidP="00851C1A">
      <w:pPr>
        <w:pBdr>
          <w:top w:val="nil"/>
          <w:left w:val="nil"/>
          <w:bottom w:val="nil"/>
          <w:right w:val="nil"/>
          <w:between w:val="nil"/>
        </w:pBdr>
        <w:tabs>
          <w:tab w:val="left" w:pos="661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54508">
        <w:rPr>
          <w:rFonts w:ascii="Arial" w:hAnsi="Arial" w:cs="Arial"/>
          <w:color w:val="010000"/>
          <w:sz w:val="20"/>
        </w:rPr>
        <w:t>On April 4, 2024, Hai Duong Pharmaceutical Medical Materials Joint Stock Company announced Resolution No. 06/NQ-H</w:t>
      </w:r>
      <w:r w:rsidR="00E17D87" w:rsidRPr="00A54508">
        <w:rPr>
          <w:rFonts w:ascii="Arial" w:hAnsi="Arial" w:cs="Arial"/>
          <w:color w:val="010000"/>
          <w:sz w:val="20"/>
        </w:rPr>
        <w:t>D</w:t>
      </w:r>
      <w:r w:rsidRPr="00A54508">
        <w:rPr>
          <w:rFonts w:ascii="Arial" w:hAnsi="Arial" w:cs="Arial"/>
          <w:color w:val="010000"/>
          <w:sz w:val="20"/>
        </w:rPr>
        <w:t xml:space="preserve">QT on implementing a </w:t>
      </w:r>
      <w:r w:rsidR="00E17D87" w:rsidRPr="00A54508">
        <w:rPr>
          <w:rFonts w:ascii="Arial" w:hAnsi="Arial" w:cs="Arial"/>
          <w:color w:val="010000"/>
          <w:sz w:val="20"/>
        </w:rPr>
        <w:t>share</w:t>
      </w:r>
      <w:r w:rsidRPr="00A54508">
        <w:rPr>
          <w:rFonts w:ascii="Arial" w:hAnsi="Arial" w:cs="Arial"/>
          <w:color w:val="010000"/>
          <w:sz w:val="20"/>
        </w:rPr>
        <w:t xml:space="preserve"> issuance plan to increase share capital from owners</w:t>
      </w:r>
      <w:r w:rsidR="00E17D87" w:rsidRPr="00A54508">
        <w:rPr>
          <w:rFonts w:ascii="Arial" w:hAnsi="Arial" w:cs="Arial"/>
          <w:color w:val="010000"/>
          <w:sz w:val="20"/>
        </w:rPr>
        <w:t>’</w:t>
      </w:r>
      <w:r w:rsidRPr="00A54508">
        <w:rPr>
          <w:rFonts w:ascii="Arial" w:hAnsi="Arial" w:cs="Arial"/>
          <w:color w:val="010000"/>
          <w:sz w:val="20"/>
        </w:rPr>
        <w:t xml:space="preserve"> equity in 2024 as follows:</w:t>
      </w:r>
    </w:p>
    <w:p w14:paraId="2145B19D" w14:textId="07C881BB" w:rsidR="008D3019" w:rsidRPr="00A54508" w:rsidRDefault="00851C1A" w:rsidP="00851C1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  <w:sectPr w:rsidR="008D3019" w:rsidRPr="00A54508" w:rsidSect="00851C1A">
          <w:pgSz w:w="11907" w:h="16839"/>
          <w:pgMar w:top="1440" w:right="1440" w:bottom="1440" w:left="1440" w:header="0" w:footer="3" w:gutter="0"/>
          <w:pgNumType w:start="1"/>
          <w:cols w:space="720"/>
          <w:docGrid w:linePitch="326"/>
        </w:sectPr>
      </w:pPr>
      <w:bookmarkStart w:id="0" w:name="_heading=h.gjdgxs"/>
      <w:bookmarkEnd w:id="0"/>
      <w:r w:rsidRPr="00A54508">
        <w:rPr>
          <w:rFonts w:ascii="Arial" w:hAnsi="Arial" w:cs="Arial"/>
          <w:color w:val="010000"/>
          <w:sz w:val="20"/>
        </w:rPr>
        <w:t xml:space="preserve">Article 1: Approve the implementation of the </w:t>
      </w:r>
      <w:r w:rsidR="00E17D87" w:rsidRPr="00A54508">
        <w:rPr>
          <w:rFonts w:ascii="Arial" w:hAnsi="Arial" w:cs="Arial"/>
          <w:color w:val="010000"/>
          <w:sz w:val="20"/>
        </w:rPr>
        <w:t xml:space="preserve">share </w:t>
      </w:r>
      <w:r w:rsidRPr="00A54508">
        <w:rPr>
          <w:rFonts w:ascii="Arial" w:hAnsi="Arial" w:cs="Arial"/>
          <w:color w:val="010000"/>
          <w:sz w:val="20"/>
        </w:rPr>
        <w:t xml:space="preserve">issuance plan to increase share capital from </w:t>
      </w:r>
      <w:r w:rsidR="00E17D87" w:rsidRPr="00A54508">
        <w:rPr>
          <w:rFonts w:ascii="Arial" w:hAnsi="Arial" w:cs="Arial"/>
          <w:color w:val="010000"/>
          <w:sz w:val="20"/>
        </w:rPr>
        <w:t xml:space="preserve">owners’ </w:t>
      </w:r>
      <w:r w:rsidRPr="00A54508">
        <w:rPr>
          <w:rFonts w:ascii="Arial" w:hAnsi="Arial" w:cs="Arial"/>
          <w:color w:val="010000"/>
          <w:sz w:val="20"/>
        </w:rPr>
        <w:t xml:space="preserve">equity in 2024 according to the </w:t>
      </w:r>
      <w:r w:rsidR="00E17D87" w:rsidRPr="00A54508">
        <w:rPr>
          <w:rFonts w:ascii="Arial" w:hAnsi="Arial" w:cs="Arial"/>
          <w:color w:val="010000"/>
          <w:sz w:val="20"/>
        </w:rPr>
        <w:t xml:space="preserve">Annual General Mandate </w:t>
      </w:r>
      <w:r w:rsidRPr="00A54508">
        <w:rPr>
          <w:rFonts w:ascii="Arial" w:hAnsi="Arial" w:cs="Arial"/>
          <w:color w:val="010000"/>
          <w:sz w:val="20"/>
        </w:rPr>
        <w:t>2024 No. 02/2024/NQ-DH</w:t>
      </w:r>
      <w:r w:rsidR="00E17D87" w:rsidRPr="00A54508">
        <w:rPr>
          <w:rFonts w:ascii="Arial" w:hAnsi="Arial" w:cs="Arial"/>
          <w:color w:val="010000"/>
          <w:sz w:val="20"/>
        </w:rPr>
        <w:t>D</w:t>
      </w:r>
      <w:r w:rsidRPr="00A54508">
        <w:rPr>
          <w:rFonts w:ascii="Arial" w:hAnsi="Arial" w:cs="Arial"/>
          <w:color w:val="010000"/>
          <w:sz w:val="20"/>
        </w:rPr>
        <w:t>C</w:t>
      </w:r>
      <w:r w:rsidR="00E17D87" w:rsidRPr="00A54508">
        <w:rPr>
          <w:rFonts w:ascii="Arial" w:hAnsi="Arial" w:cs="Arial"/>
          <w:color w:val="010000"/>
          <w:sz w:val="20"/>
        </w:rPr>
        <w:t>D</w:t>
      </w:r>
      <w:r w:rsidRPr="00A54508">
        <w:rPr>
          <w:rFonts w:ascii="Arial" w:hAnsi="Arial" w:cs="Arial"/>
          <w:color w:val="010000"/>
          <w:sz w:val="20"/>
        </w:rPr>
        <w:t>-DHD dated April 2, 2024, details are as follows: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622"/>
        <w:gridCol w:w="6395"/>
      </w:tblGrid>
      <w:tr w:rsidR="008D3019" w:rsidRPr="00A54508" w14:paraId="11D304A6" w14:textId="77777777" w:rsidTr="00851C1A">
        <w:tc>
          <w:tcPr>
            <w:tcW w:w="14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08613C" w14:textId="3225A492" w:rsidR="008D3019" w:rsidRPr="00A54508" w:rsidRDefault="00851C1A" w:rsidP="00851C1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4508">
              <w:rPr>
                <w:rFonts w:ascii="Arial" w:hAnsi="Arial" w:cs="Arial"/>
                <w:color w:val="010000"/>
                <w:sz w:val="20"/>
              </w:rPr>
              <w:t>Issuer</w:t>
            </w:r>
          </w:p>
        </w:tc>
        <w:tc>
          <w:tcPr>
            <w:tcW w:w="35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87263F" w14:textId="0FD4420D" w:rsidR="008D3019" w:rsidRPr="00A54508" w:rsidRDefault="00E17D87" w:rsidP="00851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4508">
              <w:rPr>
                <w:rFonts w:ascii="Arial" w:hAnsi="Arial" w:cs="Arial"/>
                <w:color w:val="010000"/>
                <w:sz w:val="20"/>
              </w:rPr>
              <w:t>Hai Duong Pharmaceutical Medical Materials Joint Stock Company</w:t>
            </w:r>
          </w:p>
        </w:tc>
      </w:tr>
      <w:tr w:rsidR="008D3019" w:rsidRPr="00A54508" w14:paraId="400810E4" w14:textId="77777777" w:rsidTr="00851C1A">
        <w:tc>
          <w:tcPr>
            <w:tcW w:w="14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660BE6" w14:textId="77777777" w:rsidR="008D3019" w:rsidRPr="00A54508" w:rsidRDefault="00851C1A" w:rsidP="00851C1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4508">
              <w:rPr>
                <w:rFonts w:ascii="Arial" w:hAnsi="Arial" w:cs="Arial"/>
                <w:color w:val="010000"/>
                <w:sz w:val="20"/>
              </w:rPr>
              <w:t>Share type</w:t>
            </w:r>
          </w:p>
        </w:tc>
        <w:tc>
          <w:tcPr>
            <w:tcW w:w="35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E36E37" w14:textId="77777777" w:rsidR="008D3019" w:rsidRPr="00A54508" w:rsidRDefault="00851C1A" w:rsidP="00851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4508">
              <w:rPr>
                <w:rFonts w:ascii="Arial" w:hAnsi="Arial" w:cs="Arial"/>
                <w:color w:val="010000"/>
                <w:sz w:val="20"/>
              </w:rPr>
              <w:t>Common share</w:t>
            </w:r>
          </w:p>
        </w:tc>
      </w:tr>
      <w:tr w:rsidR="008D3019" w:rsidRPr="00A54508" w14:paraId="24706904" w14:textId="77777777" w:rsidTr="00851C1A">
        <w:tc>
          <w:tcPr>
            <w:tcW w:w="14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7CDDA9" w14:textId="77777777" w:rsidR="008D3019" w:rsidRPr="00A54508" w:rsidRDefault="00851C1A" w:rsidP="00851C1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4508">
              <w:rPr>
                <w:rFonts w:ascii="Arial" w:hAnsi="Arial" w:cs="Arial"/>
                <w:color w:val="010000"/>
                <w:sz w:val="20"/>
              </w:rPr>
              <w:t>The number of issued shares</w:t>
            </w:r>
          </w:p>
        </w:tc>
        <w:tc>
          <w:tcPr>
            <w:tcW w:w="35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506647" w14:textId="77777777" w:rsidR="008D3019" w:rsidRPr="00A54508" w:rsidRDefault="00851C1A" w:rsidP="00851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4508">
              <w:rPr>
                <w:rFonts w:ascii="Arial" w:hAnsi="Arial" w:cs="Arial"/>
                <w:color w:val="010000"/>
                <w:sz w:val="20"/>
              </w:rPr>
              <w:t>7,547,863 shares</w:t>
            </w:r>
          </w:p>
        </w:tc>
      </w:tr>
      <w:tr w:rsidR="008D3019" w:rsidRPr="00A54508" w14:paraId="3443C816" w14:textId="77777777" w:rsidTr="00851C1A">
        <w:tc>
          <w:tcPr>
            <w:tcW w:w="14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799347" w14:textId="77777777" w:rsidR="008D3019" w:rsidRPr="00A54508" w:rsidRDefault="00851C1A" w:rsidP="00851C1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4508">
              <w:rPr>
                <w:rFonts w:ascii="Arial" w:hAnsi="Arial" w:cs="Arial"/>
                <w:color w:val="010000"/>
                <w:sz w:val="20"/>
              </w:rPr>
              <w:t>The total value of issued bonds</w:t>
            </w:r>
          </w:p>
        </w:tc>
        <w:tc>
          <w:tcPr>
            <w:tcW w:w="35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13AF95" w14:textId="77777777" w:rsidR="008D3019" w:rsidRPr="00A54508" w:rsidRDefault="00851C1A" w:rsidP="00851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4508">
              <w:rPr>
                <w:rFonts w:ascii="Arial" w:hAnsi="Arial" w:cs="Arial"/>
                <w:color w:val="010000"/>
                <w:sz w:val="20"/>
              </w:rPr>
              <w:t>VND 75,478,630,000.</w:t>
            </w:r>
          </w:p>
        </w:tc>
      </w:tr>
      <w:tr w:rsidR="008D3019" w:rsidRPr="00A54508" w14:paraId="2FFB83B5" w14:textId="77777777" w:rsidTr="00851C1A">
        <w:tc>
          <w:tcPr>
            <w:tcW w:w="14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5FCF7B" w14:textId="77777777" w:rsidR="008D3019" w:rsidRPr="00A54508" w:rsidRDefault="00851C1A" w:rsidP="00851C1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4508">
              <w:rPr>
                <w:rFonts w:ascii="Arial" w:hAnsi="Arial" w:cs="Arial"/>
                <w:color w:val="010000"/>
                <w:sz w:val="20"/>
              </w:rPr>
              <w:t>Par value</w:t>
            </w:r>
          </w:p>
        </w:tc>
        <w:tc>
          <w:tcPr>
            <w:tcW w:w="35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A77335" w14:textId="77777777" w:rsidR="008D3019" w:rsidRPr="00A54508" w:rsidRDefault="00851C1A" w:rsidP="00851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4508">
              <w:rPr>
                <w:rFonts w:ascii="Arial" w:hAnsi="Arial" w:cs="Arial"/>
                <w:color w:val="010000"/>
                <w:sz w:val="20"/>
              </w:rPr>
              <w:t>VND 10,000/share</w:t>
            </w:r>
          </w:p>
        </w:tc>
      </w:tr>
      <w:tr w:rsidR="008D3019" w:rsidRPr="00A54508" w14:paraId="60C5AF23" w14:textId="77777777" w:rsidTr="00851C1A">
        <w:tc>
          <w:tcPr>
            <w:tcW w:w="14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F88D38" w14:textId="77777777" w:rsidR="008D3019" w:rsidRPr="00A54508" w:rsidRDefault="00851C1A" w:rsidP="00851C1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4508">
              <w:rPr>
                <w:rFonts w:ascii="Arial" w:hAnsi="Arial" w:cs="Arial"/>
                <w:color w:val="010000"/>
                <w:sz w:val="20"/>
              </w:rPr>
              <w:t>Issuance purposes</w:t>
            </w:r>
          </w:p>
        </w:tc>
        <w:tc>
          <w:tcPr>
            <w:tcW w:w="35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4E8EB7" w14:textId="67975DF7" w:rsidR="008D3019" w:rsidRPr="00A54508" w:rsidRDefault="00851C1A" w:rsidP="00851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4508">
              <w:rPr>
                <w:rFonts w:ascii="Arial" w:hAnsi="Arial" w:cs="Arial"/>
                <w:color w:val="010000"/>
                <w:sz w:val="20"/>
              </w:rPr>
              <w:t>Increase the charter capital via the share issuance to increase share capital from the owners’ equity</w:t>
            </w:r>
            <w:r w:rsidR="00A54508" w:rsidRPr="00A54508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A54508" w:rsidRPr="00A54508">
              <w:rPr>
                <w:rFonts w:ascii="Arial" w:hAnsi="Arial" w:cs="Arial"/>
                <w:color w:val="010000"/>
                <w:sz w:val="20"/>
              </w:rPr>
              <w:t>source</w:t>
            </w:r>
          </w:p>
        </w:tc>
      </w:tr>
      <w:tr w:rsidR="008D3019" w:rsidRPr="00A54508" w14:paraId="3F8315F7" w14:textId="77777777" w:rsidTr="00851C1A">
        <w:tc>
          <w:tcPr>
            <w:tcW w:w="14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DCB573" w14:textId="5CF6A37E" w:rsidR="008D3019" w:rsidRPr="00A54508" w:rsidRDefault="00851C1A" w:rsidP="00851C1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4508">
              <w:rPr>
                <w:rFonts w:ascii="Arial" w:hAnsi="Arial" w:cs="Arial"/>
                <w:color w:val="010000"/>
                <w:sz w:val="20"/>
              </w:rPr>
              <w:t>Capital source for the issuance</w:t>
            </w:r>
          </w:p>
        </w:tc>
        <w:tc>
          <w:tcPr>
            <w:tcW w:w="35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29B593" w14:textId="3C1EE84A" w:rsidR="008D3019" w:rsidRPr="00A54508" w:rsidRDefault="00851C1A" w:rsidP="00851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4508">
              <w:rPr>
                <w:rFonts w:ascii="Arial" w:hAnsi="Arial" w:cs="Arial"/>
                <w:color w:val="010000"/>
                <w:sz w:val="20"/>
              </w:rPr>
              <w:t xml:space="preserve">Investment and development fund and undistributed </w:t>
            </w:r>
            <w:r w:rsidR="00E17D87" w:rsidRPr="00A54508">
              <w:rPr>
                <w:rFonts w:ascii="Arial" w:hAnsi="Arial" w:cs="Arial"/>
                <w:color w:val="010000"/>
                <w:sz w:val="20"/>
              </w:rPr>
              <w:t>profit after tax</w:t>
            </w:r>
            <w:r w:rsidRPr="00A54508">
              <w:rPr>
                <w:rFonts w:ascii="Arial" w:hAnsi="Arial" w:cs="Arial"/>
                <w:color w:val="010000"/>
                <w:sz w:val="20"/>
              </w:rPr>
              <w:t xml:space="preserve"> as of December 31, 2023 on the audited </w:t>
            </w:r>
            <w:r w:rsidR="00E17D87" w:rsidRPr="00A54508">
              <w:rPr>
                <w:rFonts w:ascii="Arial" w:hAnsi="Arial" w:cs="Arial"/>
                <w:color w:val="010000"/>
                <w:sz w:val="20"/>
              </w:rPr>
              <w:t>Financial Statements</w:t>
            </w:r>
            <w:r w:rsidRPr="00A54508">
              <w:rPr>
                <w:rFonts w:ascii="Arial" w:hAnsi="Arial" w:cs="Arial"/>
                <w:color w:val="010000"/>
                <w:sz w:val="20"/>
              </w:rPr>
              <w:t xml:space="preserve"> 2023 of Hai Duong Pharmaceutical Medical Materials Joint Stock Company.</w:t>
            </w:r>
          </w:p>
          <w:p w14:paraId="7B27961A" w14:textId="77777777" w:rsidR="008D3019" w:rsidRPr="00A54508" w:rsidRDefault="00851C1A" w:rsidP="00851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4508">
              <w:rPr>
                <w:rFonts w:ascii="Arial" w:hAnsi="Arial" w:cs="Arial"/>
                <w:color w:val="010000"/>
                <w:sz w:val="20"/>
              </w:rPr>
              <w:t>In which:</w:t>
            </w:r>
          </w:p>
          <w:p w14:paraId="38B64B26" w14:textId="77777777" w:rsidR="008D3019" w:rsidRPr="00A54508" w:rsidRDefault="00851C1A" w:rsidP="00851C1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4508">
              <w:rPr>
                <w:rFonts w:ascii="Arial" w:hAnsi="Arial" w:cs="Arial"/>
                <w:color w:val="010000"/>
                <w:sz w:val="20"/>
              </w:rPr>
              <w:t>Investment and development fund. VND 50,000,000,000.</w:t>
            </w:r>
          </w:p>
          <w:p w14:paraId="446DB344" w14:textId="77777777" w:rsidR="008D3019" w:rsidRPr="00A54508" w:rsidRDefault="00851C1A" w:rsidP="00851C1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4508">
              <w:rPr>
                <w:rFonts w:ascii="Arial" w:hAnsi="Arial" w:cs="Arial"/>
                <w:color w:val="010000"/>
                <w:sz w:val="20"/>
              </w:rPr>
              <w:t>Undistributed profit after tax: VND 25,478,630,000 (maximum).</w:t>
            </w:r>
          </w:p>
        </w:tc>
      </w:tr>
      <w:tr w:rsidR="008D3019" w:rsidRPr="00A54508" w14:paraId="3598A747" w14:textId="77777777" w:rsidTr="00851C1A">
        <w:tc>
          <w:tcPr>
            <w:tcW w:w="14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EE6B8A" w14:textId="27214341" w:rsidR="008D3019" w:rsidRPr="00A54508" w:rsidRDefault="00E17D87" w:rsidP="00851C1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4508">
              <w:rPr>
                <w:rFonts w:ascii="Arial" w:eastAsia="Arial" w:hAnsi="Arial" w:cs="Arial"/>
                <w:color w:val="010000"/>
                <w:sz w:val="20"/>
                <w:szCs w:val="20"/>
              </w:rPr>
              <w:t>Issuance objects</w:t>
            </w:r>
          </w:p>
        </w:tc>
        <w:tc>
          <w:tcPr>
            <w:tcW w:w="35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A05990" w14:textId="15454F84" w:rsidR="008D3019" w:rsidRPr="00A54508" w:rsidRDefault="00851C1A" w:rsidP="00851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4508">
              <w:rPr>
                <w:rFonts w:ascii="Arial" w:hAnsi="Arial" w:cs="Arial"/>
                <w:color w:val="010000"/>
                <w:sz w:val="20"/>
              </w:rPr>
              <w:t xml:space="preserve">Existing shareholders according to the list of shareholders at the record date entitled to receive shares issued from the </w:t>
            </w:r>
            <w:r w:rsidR="00A54508" w:rsidRPr="00A54508">
              <w:rPr>
                <w:rFonts w:ascii="Arial" w:hAnsi="Arial" w:cs="Arial"/>
                <w:color w:val="010000"/>
                <w:sz w:val="20"/>
              </w:rPr>
              <w:t xml:space="preserve">owners’ </w:t>
            </w:r>
            <w:r w:rsidRPr="00A54508">
              <w:rPr>
                <w:rFonts w:ascii="Arial" w:hAnsi="Arial" w:cs="Arial"/>
                <w:color w:val="010000"/>
                <w:sz w:val="20"/>
              </w:rPr>
              <w:t>equity source announced by VSDC.</w:t>
            </w:r>
          </w:p>
        </w:tc>
      </w:tr>
      <w:tr w:rsidR="008D3019" w:rsidRPr="00A54508" w14:paraId="1CDFF7EF" w14:textId="77777777" w:rsidTr="00851C1A">
        <w:tc>
          <w:tcPr>
            <w:tcW w:w="14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5630F3" w14:textId="77777777" w:rsidR="008D3019" w:rsidRPr="00A54508" w:rsidRDefault="00851C1A" w:rsidP="00851C1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4508">
              <w:rPr>
                <w:rFonts w:ascii="Arial" w:hAnsi="Arial" w:cs="Arial"/>
                <w:color w:val="010000"/>
                <w:sz w:val="20"/>
              </w:rPr>
              <w:t>Exercise rate</w:t>
            </w:r>
          </w:p>
        </w:tc>
        <w:tc>
          <w:tcPr>
            <w:tcW w:w="35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A0B22B" w14:textId="77777777" w:rsidR="008D3019" w:rsidRPr="00A54508" w:rsidRDefault="00851C1A" w:rsidP="00851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4508">
              <w:rPr>
                <w:rFonts w:ascii="Arial" w:hAnsi="Arial" w:cs="Arial"/>
                <w:color w:val="010000"/>
                <w:sz w:val="20"/>
              </w:rPr>
              <w:t>100:37 (Shareholders owning 100 shares will receive 37 additional shares issued).</w:t>
            </w:r>
          </w:p>
        </w:tc>
      </w:tr>
      <w:tr w:rsidR="008D3019" w:rsidRPr="00A54508" w14:paraId="2369F137" w14:textId="77777777" w:rsidTr="00851C1A">
        <w:tc>
          <w:tcPr>
            <w:tcW w:w="14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375D45" w14:textId="421DE443" w:rsidR="008D3019" w:rsidRPr="00A54508" w:rsidRDefault="00851C1A" w:rsidP="00851C1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4508">
              <w:rPr>
                <w:rFonts w:ascii="Arial" w:hAnsi="Arial" w:cs="Arial"/>
                <w:color w:val="010000"/>
                <w:sz w:val="20"/>
              </w:rPr>
              <w:t>Plan on handling fractional shares (if any)</w:t>
            </w:r>
          </w:p>
        </w:tc>
        <w:tc>
          <w:tcPr>
            <w:tcW w:w="35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020AEB" w14:textId="5B95765A" w:rsidR="008D3019" w:rsidRPr="00A54508" w:rsidRDefault="00851C1A" w:rsidP="00851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4508">
              <w:rPr>
                <w:rFonts w:ascii="Arial" w:hAnsi="Arial" w:cs="Arial"/>
                <w:color w:val="010000"/>
                <w:sz w:val="20"/>
              </w:rPr>
              <w:t xml:space="preserve">The number of shares each shareholder will receive </w:t>
            </w:r>
            <w:r w:rsidR="00A54508" w:rsidRPr="00A54508">
              <w:rPr>
                <w:rFonts w:ascii="Arial" w:hAnsi="Arial" w:cs="Arial"/>
                <w:color w:val="010000"/>
                <w:sz w:val="20"/>
              </w:rPr>
              <w:t>from</w:t>
            </w:r>
            <w:r w:rsidRPr="00A54508">
              <w:rPr>
                <w:rFonts w:ascii="Arial" w:hAnsi="Arial" w:cs="Arial"/>
                <w:color w:val="010000"/>
                <w:sz w:val="20"/>
              </w:rPr>
              <w:t xml:space="preserve"> the share issuance to increase share capital from equity owners will be rounded to the unit row according to the principle of rounding; the number of fractional shares (decimal part) (if any) will be canceled and will not be issued.</w:t>
            </w:r>
          </w:p>
          <w:p w14:paraId="23698D99" w14:textId="3ADDE61F" w:rsidR="008D3019" w:rsidRPr="00A54508" w:rsidRDefault="00851C1A" w:rsidP="00851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4508">
              <w:rPr>
                <w:rFonts w:ascii="Arial" w:hAnsi="Arial" w:cs="Arial"/>
                <w:color w:val="010000"/>
                <w:sz w:val="20"/>
              </w:rPr>
              <w:t xml:space="preserve">For example: Shareholder Nguyen Van A owns 179 shares, shareholder A will receive additional issued shares calculated as </w:t>
            </w:r>
            <w:r w:rsidRPr="00A54508">
              <w:rPr>
                <w:rFonts w:ascii="Arial" w:hAnsi="Arial" w:cs="Arial"/>
                <w:color w:val="010000"/>
                <w:sz w:val="20"/>
              </w:rPr>
              <w:lastRenderedPageBreak/>
              <w:t>follows</w:t>
            </w:r>
            <w:r w:rsidR="00A54508" w:rsidRPr="00A54508">
              <w:rPr>
                <w:rFonts w:ascii="Arial" w:hAnsi="Arial" w:cs="Arial"/>
                <w:color w:val="010000"/>
                <w:sz w:val="20"/>
              </w:rPr>
              <w:t>:</w:t>
            </w:r>
            <w:r w:rsidRPr="00A54508">
              <w:rPr>
                <w:rFonts w:ascii="Arial" w:hAnsi="Arial" w:cs="Arial"/>
                <w:color w:val="010000"/>
                <w:sz w:val="20"/>
              </w:rPr>
              <w:t xml:space="preserve"> (179:100) X 37 = 66.23 shares, shareholder Nguyen Van A will receive new 66 shares (</w:t>
            </w:r>
            <w:r w:rsidR="00A54508" w:rsidRPr="00A54508">
              <w:rPr>
                <w:rFonts w:ascii="Arial" w:hAnsi="Arial" w:cs="Arial"/>
                <w:color w:val="010000"/>
                <w:sz w:val="20"/>
              </w:rPr>
              <w:t>fractional</w:t>
            </w:r>
            <w:r w:rsidRPr="00A54508">
              <w:rPr>
                <w:rFonts w:ascii="Arial" w:hAnsi="Arial" w:cs="Arial"/>
                <w:color w:val="010000"/>
                <w:sz w:val="20"/>
              </w:rPr>
              <w:t xml:space="preserve"> shares of 0.23 will be cancelled). </w:t>
            </w:r>
          </w:p>
        </w:tc>
      </w:tr>
      <w:tr w:rsidR="008D3019" w:rsidRPr="00A54508" w14:paraId="618500FB" w14:textId="77777777" w:rsidTr="00851C1A">
        <w:tc>
          <w:tcPr>
            <w:tcW w:w="14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57922A" w14:textId="77777777" w:rsidR="008D3019" w:rsidRPr="00A54508" w:rsidRDefault="00851C1A" w:rsidP="00851C1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4508">
              <w:rPr>
                <w:rFonts w:ascii="Arial" w:hAnsi="Arial" w:cs="Arial"/>
                <w:color w:val="010000"/>
                <w:sz w:val="20"/>
              </w:rPr>
              <w:lastRenderedPageBreak/>
              <w:t>Expected execution time</w:t>
            </w:r>
          </w:p>
        </w:tc>
        <w:tc>
          <w:tcPr>
            <w:tcW w:w="35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8F1E29" w14:textId="4F4FD711" w:rsidR="008D3019" w:rsidRPr="00A54508" w:rsidRDefault="00851C1A" w:rsidP="00851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4508">
              <w:rPr>
                <w:rFonts w:ascii="Arial" w:hAnsi="Arial" w:cs="Arial"/>
                <w:color w:val="010000"/>
                <w:sz w:val="20"/>
              </w:rPr>
              <w:t xml:space="preserve">Q2 and </w:t>
            </w:r>
            <w:r w:rsidR="00E17D87" w:rsidRPr="00A54508">
              <w:rPr>
                <w:rFonts w:ascii="Arial" w:hAnsi="Arial" w:cs="Arial"/>
                <w:color w:val="010000"/>
                <w:sz w:val="20"/>
              </w:rPr>
              <w:t>Q</w:t>
            </w:r>
            <w:r w:rsidRPr="00A54508">
              <w:rPr>
                <w:rFonts w:ascii="Arial" w:hAnsi="Arial" w:cs="Arial"/>
                <w:color w:val="010000"/>
                <w:sz w:val="20"/>
              </w:rPr>
              <w:t>3</w:t>
            </w:r>
            <w:r w:rsidR="00E17D87" w:rsidRPr="00A54508">
              <w:rPr>
                <w:rFonts w:ascii="Arial" w:hAnsi="Arial" w:cs="Arial"/>
                <w:color w:val="010000"/>
                <w:sz w:val="20"/>
              </w:rPr>
              <w:t>/</w:t>
            </w:r>
            <w:r w:rsidRPr="00A54508">
              <w:rPr>
                <w:rFonts w:ascii="Arial" w:hAnsi="Arial" w:cs="Arial"/>
                <w:color w:val="010000"/>
                <w:sz w:val="20"/>
              </w:rPr>
              <w:t xml:space="preserve">2024 after being approved by the </w:t>
            </w:r>
            <w:r w:rsidR="00E17D87" w:rsidRPr="00A54508">
              <w:rPr>
                <w:rFonts w:ascii="Arial" w:hAnsi="Arial" w:cs="Arial"/>
                <w:color w:val="010000"/>
                <w:sz w:val="20"/>
              </w:rPr>
              <w:t>General Meeting of Shareholders</w:t>
            </w:r>
            <w:r w:rsidRPr="00A54508">
              <w:rPr>
                <w:rFonts w:ascii="Arial" w:hAnsi="Arial" w:cs="Arial"/>
                <w:color w:val="010000"/>
                <w:sz w:val="20"/>
              </w:rPr>
              <w:t xml:space="preserve"> and notified in writing by the State Securities Commission of receiving full issuance report documents of DHD.</w:t>
            </w:r>
          </w:p>
        </w:tc>
      </w:tr>
    </w:tbl>
    <w:p w14:paraId="46838136" w14:textId="77777777" w:rsidR="008D3019" w:rsidRPr="00A54508" w:rsidRDefault="00851C1A" w:rsidP="00851C1A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54508">
        <w:rPr>
          <w:rFonts w:ascii="Arial" w:hAnsi="Arial" w:cs="Arial"/>
          <w:color w:val="010000"/>
          <w:sz w:val="20"/>
        </w:rPr>
        <w:t>Article 2: Terms of enforcement</w:t>
      </w:r>
    </w:p>
    <w:p w14:paraId="3E00E143" w14:textId="3A2D0A1B" w:rsidR="008D3019" w:rsidRPr="00A54508" w:rsidRDefault="00851C1A" w:rsidP="00851C1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54508">
        <w:rPr>
          <w:rFonts w:ascii="Arial" w:hAnsi="Arial" w:cs="Arial"/>
          <w:color w:val="010000"/>
          <w:sz w:val="20"/>
        </w:rPr>
        <w:t xml:space="preserve">This Resolution takes effect on the date of its signing. The </w:t>
      </w:r>
      <w:r w:rsidR="00E17D87" w:rsidRPr="00A54508">
        <w:rPr>
          <w:rFonts w:ascii="Arial" w:hAnsi="Arial" w:cs="Arial"/>
          <w:color w:val="010000"/>
          <w:sz w:val="20"/>
        </w:rPr>
        <w:t>Chair</w:t>
      </w:r>
      <w:r w:rsidRPr="00A54508">
        <w:rPr>
          <w:rFonts w:ascii="Arial" w:hAnsi="Arial" w:cs="Arial"/>
          <w:color w:val="010000"/>
          <w:sz w:val="20"/>
        </w:rPr>
        <w:t xml:space="preserve"> of the Board of Directors and relevant departments are responsible for implementing work related to the registration </w:t>
      </w:r>
      <w:r w:rsidR="00A54508" w:rsidRPr="00A54508">
        <w:rPr>
          <w:rFonts w:ascii="Arial" w:hAnsi="Arial" w:cs="Arial"/>
          <w:color w:val="010000"/>
          <w:sz w:val="20"/>
        </w:rPr>
        <w:t>dossier</w:t>
      </w:r>
      <w:r w:rsidRPr="00A54508">
        <w:rPr>
          <w:rFonts w:ascii="Arial" w:hAnsi="Arial" w:cs="Arial"/>
          <w:color w:val="010000"/>
          <w:sz w:val="20"/>
        </w:rPr>
        <w:t xml:space="preserve"> to issue shares to increase share capital from </w:t>
      </w:r>
      <w:r w:rsidR="00A54508" w:rsidRPr="00A54508">
        <w:rPr>
          <w:rFonts w:ascii="Arial" w:hAnsi="Arial" w:cs="Arial"/>
          <w:color w:val="010000"/>
          <w:sz w:val="20"/>
        </w:rPr>
        <w:t xml:space="preserve">the owners’ </w:t>
      </w:r>
      <w:r w:rsidRPr="00A54508">
        <w:rPr>
          <w:rFonts w:ascii="Arial" w:hAnsi="Arial" w:cs="Arial"/>
          <w:color w:val="010000"/>
          <w:sz w:val="20"/>
        </w:rPr>
        <w:t>equity source in 2024 appropriate with the General Mandate.</w:t>
      </w:r>
    </w:p>
    <w:sectPr w:rsidR="008D3019" w:rsidRPr="00A54508" w:rsidSect="00851C1A">
      <w:type w:val="continuous"/>
      <w:pgSz w:w="11907" w:h="16839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4DC5"/>
    <w:multiLevelType w:val="multilevel"/>
    <w:tmpl w:val="AC7E053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3B33A76"/>
    <w:multiLevelType w:val="multilevel"/>
    <w:tmpl w:val="A5C63FE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019"/>
    <w:rsid w:val="00851C1A"/>
    <w:rsid w:val="008D3019"/>
    <w:rsid w:val="00A54508"/>
    <w:rsid w:val="00E1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37DA4C"/>
  <w15:docId w15:val="{A6AE6004-5D6F-4CDF-9921-AF651439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D1E24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D1E24"/>
      <w:sz w:val="26"/>
      <w:szCs w:val="26"/>
      <w:u w:val="none"/>
      <w:shd w:val="clear" w:color="auto" w:fill="auto"/>
    </w:rPr>
  </w:style>
  <w:style w:type="character" w:customStyle="1" w:styleId="Vnbnnidung6">
    <w:name w:val="Văn bản nội dung (6)_"/>
    <w:basedOn w:val="DefaultParagraphFont"/>
    <w:link w:val="Vnbnnidung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4"/>
      <w:szCs w:val="14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33952"/>
      <w:sz w:val="20"/>
      <w:szCs w:val="2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D1E24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/>
      <w:bCs/>
      <w:i w:val="0"/>
      <w:iCs w:val="0"/>
      <w:smallCaps w:val="0"/>
      <w:strike w:val="0"/>
      <w:color w:val="B33952"/>
      <w:sz w:val="16"/>
      <w:szCs w:val="16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B33952"/>
      <w:w w:val="100"/>
      <w:sz w:val="26"/>
      <w:szCs w:val="26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10" w:lineRule="auto"/>
    </w:pPr>
    <w:rPr>
      <w:rFonts w:ascii="Times New Roman" w:eastAsia="Times New Roman" w:hAnsi="Times New Roman" w:cs="Times New Roman"/>
      <w:color w:val="1D1E24"/>
    </w:rPr>
  </w:style>
  <w:style w:type="paragraph" w:customStyle="1" w:styleId="Vnbnnidung20">
    <w:name w:val="Văn bản nội dung (2)"/>
    <w:basedOn w:val="Normal"/>
    <w:link w:val="Vnbnnidung2"/>
    <w:pPr>
      <w:spacing w:line="262" w:lineRule="auto"/>
      <w:ind w:left="4420"/>
    </w:pPr>
    <w:rPr>
      <w:rFonts w:ascii="Times New Roman" w:eastAsia="Times New Roman" w:hAnsi="Times New Roman" w:cs="Times New Roman"/>
      <w:b/>
      <w:bCs/>
      <w:color w:val="1D1E24"/>
      <w:sz w:val="26"/>
      <w:szCs w:val="26"/>
    </w:rPr>
  </w:style>
  <w:style w:type="paragraph" w:customStyle="1" w:styleId="Vnbnnidung60">
    <w:name w:val="Văn bản nội dung (6)"/>
    <w:basedOn w:val="Normal"/>
    <w:link w:val="Vnbnnidung6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Vnbnnidung30">
    <w:name w:val="Văn bản nội dung (3)"/>
    <w:basedOn w:val="Normal"/>
    <w:link w:val="Vnbnnidung3"/>
    <w:pPr>
      <w:spacing w:line="209" w:lineRule="auto"/>
    </w:pPr>
    <w:rPr>
      <w:rFonts w:ascii="Times New Roman" w:eastAsia="Times New Roman" w:hAnsi="Times New Roman" w:cs="Times New Roman"/>
      <w:color w:val="FF0000"/>
      <w:sz w:val="14"/>
      <w:szCs w:val="14"/>
    </w:rPr>
  </w:style>
  <w:style w:type="paragraph" w:customStyle="1" w:styleId="Chthchbng0">
    <w:name w:val="Chú thích bảng"/>
    <w:basedOn w:val="Normal"/>
    <w:link w:val="Chthchbng"/>
    <w:pPr>
      <w:spacing w:line="233" w:lineRule="auto"/>
      <w:jc w:val="right"/>
    </w:pPr>
    <w:rPr>
      <w:rFonts w:ascii="Times New Roman" w:eastAsia="Times New Roman" w:hAnsi="Times New Roman" w:cs="Times New Roman"/>
      <w:color w:val="B33952"/>
      <w:sz w:val="20"/>
      <w:szCs w:val="20"/>
    </w:rPr>
  </w:style>
  <w:style w:type="paragraph" w:customStyle="1" w:styleId="Khc0">
    <w:name w:val="Khác"/>
    <w:basedOn w:val="Normal"/>
    <w:link w:val="Khc"/>
    <w:pPr>
      <w:spacing w:line="310" w:lineRule="auto"/>
    </w:pPr>
    <w:rPr>
      <w:rFonts w:ascii="Times New Roman" w:eastAsia="Times New Roman" w:hAnsi="Times New Roman" w:cs="Times New Roman"/>
      <w:color w:val="1D1E24"/>
    </w:rPr>
  </w:style>
  <w:style w:type="paragraph" w:customStyle="1" w:styleId="Tiu10">
    <w:name w:val="Tiêu đề #1"/>
    <w:basedOn w:val="Normal"/>
    <w:link w:val="Tiu1"/>
    <w:pPr>
      <w:spacing w:line="276" w:lineRule="auto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Vnbnnidung40">
    <w:name w:val="Văn bản nội dung (4)"/>
    <w:basedOn w:val="Normal"/>
    <w:link w:val="Vnbnnidung4"/>
    <w:rPr>
      <w:rFonts w:ascii="Arial" w:eastAsia="Arial" w:hAnsi="Arial" w:cs="Arial"/>
      <w:b/>
      <w:bCs/>
      <w:color w:val="B33952"/>
      <w:sz w:val="16"/>
      <w:szCs w:val="16"/>
    </w:rPr>
  </w:style>
  <w:style w:type="paragraph" w:customStyle="1" w:styleId="Vnbnnidung50">
    <w:name w:val="Văn bản nội dung (5)"/>
    <w:basedOn w:val="Normal"/>
    <w:link w:val="Vnbnnidung5"/>
    <w:pPr>
      <w:spacing w:line="319" w:lineRule="auto"/>
      <w:jc w:val="center"/>
    </w:pPr>
    <w:rPr>
      <w:rFonts w:ascii="Cambria" w:eastAsia="Cambria" w:hAnsi="Cambria" w:cs="Cambria"/>
      <w:color w:val="B33952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93V/wWFIWuO6bW/eoo/pUVrgoQ==">CgMxLjAyCGguZ2pkZ3hzOAByITExU0RfNkxFRDJaZlV2MXctY2ZzaWJCWDlZMTJZUVQ3Sg==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404</Words>
  <Characters>2208</Characters>
  <Application>Microsoft Office Word</Application>
  <DocSecurity>0</DocSecurity>
  <Lines>59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4</cp:revision>
  <dcterms:created xsi:type="dcterms:W3CDTF">2024-04-08T04:00:00Z</dcterms:created>
  <dcterms:modified xsi:type="dcterms:W3CDTF">2024-04-09T01:27:00Z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2e86474aaae079501d6c16cc02856bafc605ed8c7d280253319c4f7520f6c7bd</vt:lpwstr>
  </property>
</Properties>
</file>