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CB323" w14:textId="4E5C49F2"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075AD1">
        <w:rPr>
          <w:rFonts w:ascii="Arial" w:hAnsi="Arial" w:cs="Arial"/>
          <w:b/>
          <w:color w:val="010000"/>
          <w:sz w:val="20"/>
        </w:rPr>
        <w:t xml:space="preserve">LIC: </w:t>
      </w:r>
      <w:r w:rsidR="006877D6">
        <w:rPr>
          <w:rFonts w:ascii="Arial" w:hAnsi="Arial" w:cs="Arial"/>
          <w:b/>
          <w:color w:val="010000"/>
          <w:sz w:val="20"/>
        </w:rPr>
        <w:t xml:space="preserve">Explanation on </w:t>
      </w:r>
      <w:r w:rsidRPr="00075AD1">
        <w:rPr>
          <w:rFonts w:ascii="Arial" w:hAnsi="Arial" w:cs="Arial"/>
          <w:b/>
          <w:color w:val="010000"/>
          <w:sz w:val="20"/>
        </w:rPr>
        <w:t>Financial Statement</w:t>
      </w:r>
      <w:r w:rsidR="006877D6">
        <w:rPr>
          <w:rFonts w:ascii="Arial" w:hAnsi="Arial" w:cs="Arial"/>
          <w:b/>
          <w:color w:val="010000"/>
          <w:sz w:val="20"/>
        </w:rPr>
        <w:t>s</w:t>
      </w:r>
      <w:r w:rsidRPr="00075AD1">
        <w:rPr>
          <w:rFonts w:ascii="Arial" w:hAnsi="Arial" w:cs="Arial"/>
          <w:b/>
          <w:color w:val="010000"/>
          <w:sz w:val="20"/>
        </w:rPr>
        <w:t xml:space="preserve"> FY 2023</w:t>
      </w:r>
    </w:p>
    <w:p w14:paraId="22E1240D"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 xml:space="preserve">On March 30, 2024, </w:t>
      </w:r>
      <w:proofErr w:type="spellStart"/>
      <w:r w:rsidRPr="00075AD1">
        <w:rPr>
          <w:rFonts w:ascii="Arial" w:hAnsi="Arial" w:cs="Arial"/>
          <w:color w:val="010000"/>
          <w:sz w:val="20"/>
        </w:rPr>
        <w:t>Licogi</w:t>
      </w:r>
      <w:proofErr w:type="spellEnd"/>
      <w:r w:rsidRPr="00075AD1">
        <w:rPr>
          <w:rFonts w:ascii="Arial" w:hAnsi="Arial" w:cs="Arial"/>
          <w:color w:val="010000"/>
          <w:sz w:val="20"/>
        </w:rPr>
        <w:t xml:space="preserve"> Corporation - JSC announced Official Dispatch No. 137/2024/CV-TCKT on the auditor’s qualified opinion for the Audited Consolidated Financial Statements 2023 as follows:</w:t>
      </w:r>
    </w:p>
    <w:p w14:paraId="3230D480" w14:textId="77777777" w:rsidR="0059455B" w:rsidRPr="00075AD1" w:rsidRDefault="00846084" w:rsidP="006877D6">
      <w:pPr>
        <w:keepNext/>
        <w:numPr>
          <w:ilvl w:val="0"/>
          <w:numId w:val="2"/>
        </w:numPr>
        <w:pBdr>
          <w:top w:val="nil"/>
          <w:left w:val="nil"/>
          <w:bottom w:val="nil"/>
          <w:right w:val="nil"/>
          <w:between w:val="nil"/>
        </w:pBdr>
        <w:tabs>
          <w:tab w:val="left" w:pos="432"/>
          <w:tab w:val="left" w:pos="999"/>
        </w:tabs>
        <w:spacing w:after="120" w:line="360" w:lineRule="auto"/>
        <w:jc w:val="both"/>
        <w:rPr>
          <w:rFonts w:ascii="Arial" w:eastAsia="Arial" w:hAnsi="Arial" w:cs="Arial"/>
          <w:color w:val="010000"/>
          <w:sz w:val="20"/>
          <w:szCs w:val="20"/>
        </w:rPr>
      </w:pPr>
      <w:r w:rsidRPr="00075AD1">
        <w:rPr>
          <w:rFonts w:ascii="Arial" w:hAnsi="Arial" w:cs="Arial"/>
          <w:color w:val="010000"/>
          <w:sz w:val="20"/>
        </w:rPr>
        <w:t xml:space="preserve">Thinh </w:t>
      </w:r>
      <w:proofErr w:type="spellStart"/>
      <w:r w:rsidRPr="00075AD1">
        <w:rPr>
          <w:rFonts w:ascii="Arial" w:hAnsi="Arial" w:cs="Arial"/>
          <w:color w:val="010000"/>
          <w:sz w:val="20"/>
        </w:rPr>
        <w:t>Liet</w:t>
      </w:r>
      <w:proofErr w:type="spellEnd"/>
      <w:r w:rsidRPr="00075AD1">
        <w:rPr>
          <w:rFonts w:ascii="Arial" w:hAnsi="Arial" w:cs="Arial"/>
          <w:color w:val="010000"/>
          <w:sz w:val="20"/>
        </w:rPr>
        <w:t xml:space="preserve"> New Urban Area Project</w:t>
      </w:r>
    </w:p>
    <w:p w14:paraId="1654FACF" w14:textId="77777777" w:rsidR="0059455B" w:rsidRPr="00075AD1" w:rsidRDefault="00846084" w:rsidP="006877D6">
      <w:pPr>
        <w:pBdr>
          <w:top w:val="nil"/>
          <w:left w:val="nil"/>
          <w:bottom w:val="nil"/>
          <w:right w:val="nil"/>
          <w:between w:val="nil"/>
        </w:pBdr>
        <w:tabs>
          <w:tab w:val="left" w:pos="432"/>
          <w:tab w:val="left" w:pos="9653"/>
        </w:tabs>
        <w:spacing w:after="120" w:line="360" w:lineRule="auto"/>
        <w:jc w:val="both"/>
        <w:rPr>
          <w:rFonts w:ascii="Arial" w:eastAsia="Arial" w:hAnsi="Arial" w:cs="Arial"/>
          <w:color w:val="010000"/>
          <w:sz w:val="20"/>
          <w:szCs w:val="20"/>
        </w:rPr>
      </w:pPr>
      <w:r w:rsidRPr="00075AD1">
        <w:rPr>
          <w:rFonts w:ascii="Arial" w:hAnsi="Arial" w:cs="Arial"/>
          <w:color w:val="010000"/>
          <w:sz w:val="20"/>
        </w:rPr>
        <w:t xml:space="preserve">As of January 01, 2023, the Corporation has capitalized loan interest into the item: "Long-term production and business expenses in progress" of the Thinh </w:t>
      </w:r>
      <w:proofErr w:type="spellStart"/>
      <w:r w:rsidRPr="00075AD1">
        <w:rPr>
          <w:rFonts w:ascii="Arial" w:hAnsi="Arial" w:cs="Arial"/>
          <w:color w:val="010000"/>
          <w:sz w:val="20"/>
        </w:rPr>
        <w:t>Liet</w:t>
      </w:r>
      <w:proofErr w:type="spellEnd"/>
      <w:r w:rsidRPr="00075AD1">
        <w:rPr>
          <w:rFonts w:ascii="Arial" w:hAnsi="Arial" w:cs="Arial"/>
          <w:color w:val="010000"/>
          <w:sz w:val="20"/>
        </w:rPr>
        <w:t xml:space="preserve"> New Urban Area Project with a total accumulated value of VND 395.2 billion. In 2023, the Corporation continues to capitalize loan interest into "Long-term production and business expenses in progress" of VND 1.6 billion. Accordingly, the total value of accumulated capitalized interest expenses as of December 31, 2023 is VND 396.8 billion. Because the Thinh </w:t>
      </w:r>
      <w:proofErr w:type="spellStart"/>
      <w:r w:rsidRPr="00075AD1">
        <w:rPr>
          <w:rFonts w:ascii="Arial" w:hAnsi="Arial" w:cs="Arial"/>
          <w:color w:val="010000"/>
          <w:sz w:val="20"/>
        </w:rPr>
        <w:t>Liet</w:t>
      </w:r>
      <w:proofErr w:type="spellEnd"/>
      <w:r w:rsidRPr="00075AD1">
        <w:rPr>
          <w:rFonts w:ascii="Arial" w:hAnsi="Arial" w:cs="Arial"/>
          <w:color w:val="010000"/>
          <w:sz w:val="20"/>
        </w:rPr>
        <w:t xml:space="preserve"> New Urban Area Project has been prolonged, we cannot collect the necessary information to determine the interest expenses capitalized on this project according to Vietnamese Accounting Standard No. 16 - Borrowing expenses.</w:t>
      </w:r>
    </w:p>
    <w:p w14:paraId="5526958A"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 xml:space="preserve">Explanation on the auditor's qualified opinion of the audit company regarding the Thinh </w:t>
      </w:r>
      <w:proofErr w:type="spellStart"/>
      <w:r w:rsidRPr="00075AD1">
        <w:rPr>
          <w:rFonts w:ascii="Arial" w:hAnsi="Arial" w:cs="Arial"/>
          <w:color w:val="010000"/>
          <w:sz w:val="20"/>
        </w:rPr>
        <w:t>Liet</w:t>
      </w:r>
      <w:proofErr w:type="spellEnd"/>
      <w:r w:rsidRPr="00075AD1">
        <w:rPr>
          <w:rFonts w:ascii="Arial" w:hAnsi="Arial" w:cs="Arial"/>
          <w:color w:val="010000"/>
          <w:sz w:val="20"/>
        </w:rPr>
        <w:t xml:space="preserve"> New Urban Area Project:</w:t>
      </w:r>
    </w:p>
    <w:p w14:paraId="4443ADC4" w14:textId="6E778D26"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 xml:space="preserve">The Thinh </w:t>
      </w:r>
      <w:proofErr w:type="spellStart"/>
      <w:r w:rsidRPr="00075AD1">
        <w:rPr>
          <w:rFonts w:ascii="Arial" w:hAnsi="Arial" w:cs="Arial"/>
          <w:color w:val="010000"/>
          <w:sz w:val="20"/>
        </w:rPr>
        <w:t>Liet</w:t>
      </w:r>
      <w:proofErr w:type="spellEnd"/>
      <w:r w:rsidRPr="00075AD1">
        <w:rPr>
          <w:rFonts w:ascii="Arial" w:hAnsi="Arial" w:cs="Arial"/>
          <w:color w:val="010000"/>
          <w:sz w:val="20"/>
        </w:rPr>
        <w:t xml:space="preserve"> Urban Area Project is granted a construction investment license by the Hanoi People's Committee on September 17, 2007 to Infrastructure Construction and Development Corporation, then transferred to </w:t>
      </w:r>
      <w:proofErr w:type="spellStart"/>
      <w:r w:rsidRPr="00075AD1">
        <w:rPr>
          <w:rFonts w:ascii="Arial" w:hAnsi="Arial" w:cs="Arial"/>
          <w:color w:val="010000"/>
          <w:sz w:val="20"/>
        </w:rPr>
        <w:t>Licogi</w:t>
      </w:r>
      <w:proofErr w:type="spellEnd"/>
      <w:r w:rsidRPr="00075AD1">
        <w:rPr>
          <w:rFonts w:ascii="Arial" w:hAnsi="Arial" w:cs="Arial"/>
          <w:color w:val="010000"/>
          <w:sz w:val="20"/>
        </w:rPr>
        <w:t xml:space="preserve"> Corporation - JSC and </w:t>
      </w:r>
      <w:proofErr w:type="spellStart"/>
      <w:r w:rsidRPr="00075AD1">
        <w:rPr>
          <w:rFonts w:ascii="Arial" w:hAnsi="Arial" w:cs="Arial"/>
          <w:color w:val="010000"/>
          <w:sz w:val="20"/>
        </w:rPr>
        <w:t>Licogi</w:t>
      </w:r>
      <w:proofErr w:type="spellEnd"/>
      <w:r w:rsidRPr="00075AD1">
        <w:rPr>
          <w:rFonts w:ascii="Arial" w:hAnsi="Arial" w:cs="Arial"/>
          <w:color w:val="010000"/>
          <w:sz w:val="20"/>
        </w:rPr>
        <w:t xml:space="preserve"> Urban and Housing One Member Company Limited respectively. Capitalized interest expenses are directly related to this project. However, the project </w:t>
      </w:r>
      <w:r w:rsidR="00075AD1" w:rsidRPr="00075AD1">
        <w:rPr>
          <w:rFonts w:ascii="Arial" w:hAnsi="Arial" w:cs="Arial"/>
          <w:color w:val="010000"/>
          <w:sz w:val="20"/>
        </w:rPr>
        <w:t>is prolonged</w:t>
      </w:r>
      <w:r w:rsidRPr="00075AD1">
        <w:rPr>
          <w:rFonts w:ascii="Arial" w:hAnsi="Arial" w:cs="Arial"/>
          <w:color w:val="010000"/>
          <w:sz w:val="20"/>
        </w:rPr>
        <w:t xml:space="preserve"> because of objective factors. Up to now, the project is still in the process of site clearance compensation and will continue to be implemented in the near future, so the Corporation still capitalize interest expenses related to this project without temporarily suspending the capitalizing the interest expenses. At the same time, when establishing the subsidiaries: </w:t>
      </w:r>
      <w:proofErr w:type="spellStart"/>
      <w:r w:rsidRPr="00075AD1">
        <w:rPr>
          <w:rFonts w:ascii="Arial" w:hAnsi="Arial" w:cs="Arial"/>
          <w:color w:val="010000"/>
          <w:sz w:val="20"/>
        </w:rPr>
        <w:t>Licogi</w:t>
      </w:r>
      <w:proofErr w:type="spellEnd"/>
      <w:r w:rsidRPr="00075AD1">
        <w:rPr>
          <w:rFonts w:ascii="Arial" w:hAnsi="Arial" w:cs="Arial"/>
          <w:color w:val="010000"/>
          <w:sz w:val="20"/>
        </w:rPr>
        <w:t xml:space="preserve"> Urban and Housing One Member Company Limited and </w:t>
      </w:r>
      <w:proofErr w:type="spellStart"/>
      <w:r w:rsidRPr="00075AD1">
        <w:rPr>
          <w:rFonts w:ascii="Arial" w:hAnsi="Arial" w:cs="Arial"/>
          <w:color w:val="010000"/>
          <w:sz w:val="20"/>
        </w:rPr>
        <w:t>Licogi</w:t>
      </w:r>
      <w:proofErr w:type="spellEnd"/>
      <w:r w:rsidRPr="00075AD1">
        <w:rPr>
          <w:rFonts w:ascii="Arial" w:hAnsi="Arial" w:cs="Arial"/>
          <w:color w:val="010000"/>
          <w:sz w:val="20"/>
        </w:rPr>
        <w:t xml:space="preserve"> 2 Investment and Construction One Member Company Limited, the Corporation determines these capitalized interest expenses as part of capital contribution assets when establishing subsidiaries.</w:t>
      </w:r>
    </w:p>
    <w:p w14:paraId="736E21D9"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This issue is overcome when the Company implement profitable project business, thus, the Corporation recovers its invested capital.</w:t>
      </w:r>
    </w:p>
    <w:p w14:paraId="63158661" w14:textId="77777777" w:rsidR="0059455B" w:rsidRPr="00075AD1" w:rsidRDefault="00846084" w:rsidP="006877D6">
      <w:pPr>
        <w:keepNext/>
        <w:numPr>
          <w:ilvl w:val="0"/>
          <w:numId w:val="2"/>
        </w:numPr>
        <w:pBdr>
          <w:top w:val="nil"/>
          <w:left w:val="nil"/>
          <w:bottom w:val="nil"/>
          <w:right w:val="nil"/>
          <w:between w:val="nil"/>
        </w:pBdr>
        <w:tabs>
          <w:tab w:val="left" w:pos="432"/>
          <w:tab w:val="left" w:pos="1034"/>
        </w:tabs>
        <w:spacing w:after="120" w:line="360" w:lineRule="auto"/>
        <w:jc w:val="both"/>
        <w:rPr>
          <w:rFonts w:ascii="Arial" w:eastAsia="Arial" w:hAnsi="Arial" w:cs="Arial"/>
          <w:color w:val="010000"/>
          <w:sz w:val="20"/>
          <w:szCs w:val="20"/>
        </w:rPr>
      </w:pPr>
      <w:r w:rsidRPr="00075AD1">
        <w:rPr>
          <w:rFonts w:ascii="Arial" w:hAnsi="Arial" w:cs="Arial"/>
          <w:color w:val="010000"/>
          <w:sz w:val="20"/>
        </w:rPr>
        <w:t>Debts receivable and debts payable:</w:t>
      </w:r>
    </w:p>
    <w:p w14:paraId="4BD11D84"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 xml:space="preserve">As of January 01, 2023 and December 31, 2023, the Corporation's subsidiaries are recording a number of receivables for which the auditor cannot assess the rights and obligations, existence, accuracy and completeness as well as assess the loss of these receivables. Specifically: </w:t>
      </w:r>
      <w:proofErr w:type="spellStart"/>
      <w:r w:rsidRPr="00075AD1">
        <w:rPr>
          <w:rFonts w:ascii="Arial" w:hAnsi="Arial" w:cs="Arial"/>
          <w:color w:val="010000"/>
          <w:sz w:val="20"/>
        </w:rPr>
        <w:t>Licogi</w:t>
      </w:r>
      <w:proofErr w:type="spellEnd"/>
      <w:r w:rsidRPr="00075AD1">
        <w:rPr>
          <w:rFonts w:ascii="Arial" w:hAnsi="Arial" w:cs="Arial"/>
          <w:color w:val="010000"/>
          <w:sz w:val="20"/>
        </w:rPr>
        <w:t xml:space="preserve"> 15 Joint Stock Company VND 79.5 billion and VND 77.45 billion; Water Electrical System and Machinery Installation </w:t>
      </w:r>
      <w:proofErr w:type="spellStart"/>
      <w:r w:rsidRPr="00075AD1">
        <w:rPr>
          <w:rFonts w:ascii="Arial" w:hAnsi="Arial" w:cs="Arial"/>
          <w:color w:val="010000"/>
          <w:sz w:val="20"/>
        </w:rPr>
        <w:t>Licogi</w:t>
      </w:r>
      <w:proofErr w:type="spellEnd"/>
      <w:r w:rsidRPr="00075AD1">
        <w:rPr>
          <w:rFonts w:ascii="Arial" w:hAnsi="Arial" w:cs="Arial"/>
          <w:color w:val="010000"/>
          <w:sz w:val="20"/>
        </w:rPr>
        <w:t xml:space="preserve"> Joint Stock Company: VND 8.6 billion and VND 5.5 billion; Foundation Engineering and Construction 20 Joint Stock Company: VND 89.9 billion and VND 87.36 billion; </w:t>
      </w:r>
      <w:proofErr w:type="spellStart"/>
      <w:r w:rsidRPr="00075AD1">
        <w:rPr>
          <w:rFonts w:ascii="Arial" w:hAnsi="Arial" w:cs="Arial"/>
          <w:color w:val="010000"/>
          <w:sz w:val="20"/>
        </w:rPr>
        <w:t>Licogi</w:t>
      </w:r>
      <w:proofErr w:type="spellEnd"/>
      <w:r w:rsidRPr="00075AD1">
        <w:rPr>
          <w:rFonts w:ascii="Arial" w:hAnsi="Arial" w:cs="Arial"/>
          <w:color w:val="010000"/>
          <w:sz w:val="20"/>
        </w:rPr>
        <w:t xml:space="preserve"> 10 Joint Stock Company: VND 47.4 billion and VND 34.6 billion; </w:t>
      </w:r>
      <w:proofErr w:type="spellStart"/>
      <w:r w:rsidRPr="00075AD1">
        <w:rPr>
          <w:rFonts w:ascii="Arial" w:hAnsi="Arial" w:cs="Arial"/>
          <w:color w:val="010000"/>
          <w:sz w:val="20"/>
        </w:rPr>
        <w:t>Licogi</w:t>
      </w:r>
      <w:proofErr w:type="spellEnd"/>
      <w:r w:rsidRPr="00075AD1">
        <w:rPr>
          <w:rFonts w:ascii="Arial" w:hAnsi="Arial" w:cs="Arial"/>
          <w:color w:val="010000"/>
          <w:sz w:val="20"/>
        </w:rPr>
        <w:t xml:space="preserve"> Quang Ngai Joint Stock Company: VND 7.39 billion and VND 15.4 billion.</w:t>
      </w:r>
    </w:p>
    <w:p w14:paraId="30662878"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Explanation on the auditor's qualified opinion of the audit company regarding receivables and payables:</w:t>
      </w:r>
    </w:p>
    <w:p w14:paraId="5A2B636D" w14:textId="5B00B15A"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lastRenderedPageBreak/>
        <w:t>The above contents are existing issues of subsidiaries that have arisen for a long time and have not been able to be overcome due to many reasons such as: the settlement process of unfinished projects and projects, lawsuits and financial difficulties leading to difficult debt reconciliation with customers; or investors and main contractors being hesitant and avoiding implementing debt reconciliation for fear of debt collectio</w:t>
      </w:r>
      <w:r w:rsidR="006877D6">
        <w:rPr>
          <w:rFonts w:ascii="Arial" w:hAnsi="Arial" w:cs="Arial"/>
          <w:color w:val="010000"/>
          <w:sz w:val="20"/>
        </w:rPr>
        <w:t>n, etc</w:t>
      </w:r>
      <w:r w:rsidRPr="00075AD1">
        <w:rPr>
          <w:rFonts w:ascii="Arial" w:hAnsi="Arial" w:cs="Arial"/>
          <w:color w:val="010000"/>
          <w:sz w:val="20"/>
        </w:rPr>
        <w:t>. These contents have also been recorded in the auditor's qualified opinion in the Audited Financial Statements from 2016 to present.</w:t>
      </w:r>
    </w:p>
    <w:p w14:paraId="4D9232A6" w14:textId="77777777" w:rsidR="0059455B" w:rsidRPr="00075AD1" w:rsidRDefault="00846084" w:rsidP="006877D6">
      <w:pPr>
        <w:numPr>
          <w:ilvl w:val="0"/>
          <w:numId w:val="2"/>
        </w:numPr>
        <w:pBdr>
          <w:top w:val="nil"/>
          <w:left w:val="nil"/>
          <w:bottom w:val="nil"/>
          <w:right w:val="nil"/>
          <w:between w:val="nil"/>
        </w:pBdr>
        <w:tabs>
          <w:tab w:val="left" w:pos="432"/>
          <w:tab w:val="left" w:pos="1046"/>
        </w:tabs>
        <w:spacing w:after="120" w:line="360" w:lineRule="auto"/>
        <w:jc w:val="both"/>
        <w:rPr>
          <w:rFonts w:ascii="Arial" w:eastAsia="Arial" w:hAnsi="Arial" w:cs="Arial"/>
          <w:color w:val="010000"/>
          <w:sz w:val="20"/>
          <w:szCs w:val="20"/>
        </w:rPr>
      </w:pPr>
      <w:r w:rsidRPr="00075AD1">
        <w:rPr>
          <w:rFonts w:ascii="Arial" w:hAnsi="Arial" w:cs="Arial"/>
          <w:color w:val="010000"/>
          <w:sz w:val="20"/>
        </w:rPr>
        <w:t>Inventory</w:t>
      </w:r>
    </w:p>
    <w:p w14:paraId="7CADF347" w14:textId="489F57CD"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 xml:space="preserve">The auditor cannot carry out necessary audit procedures to determine the existence of inventory as of January 01, 2023 and December 31, 2023 of the Corporation's subsidiaries, specifically as follows: </w:t>
      </w:r>
      <w:proofErr w:type="spellStart"/>
      <w:r w:rsidRPr="00075AD1">
        <w:rPr>
          <w:rFonts w:ascii="Arial" w:hAnsi="Arial" w:cs="Arial"/>
          <w:color w:val="010000"/>
          <w:sz w:val="20"/>
        </w:rPr>
        <w:t>Licogi</w:t>
      </w:r>
      <w:proofErr w:type="spellEnd"/>
      <w:r w:rsidRPr="00075AD1">
        <w:rPr>
          <w:rFonts w:ascii="Arial" w:hAnsi="Arial" w:cs="Arial"/>
          <w:color w:val="010000"/>
          <w:sz w:val="20"/>
        </w:rPr>
        <w:t xml:space="preserve"> 15 Joint Stock Company: VND 11.4 billion and VND 14.06 billion; Foundation Engineering and Construction 20 Joint Stock Company: VND 10.3 billion and VND 10.3 billion; </w:t>
      </w:r>
      <w:proofErr w:type="spellStart"/>
      <w:r w:rsidRPr="00075AD1">
        <w:rPr>
          <w:rFonts w:ascii="Arial" w:hAnsi="Arial" w:cs="Arial"/>
          <w:color w:val="010000"/>
          <w:sz w:val="20"/>
        </w:rPr>
        <w:t>Licogi</w:t>
      </w:r>
      <w:proofErr w:type="spellEnd"/>
      <w:r w:rsidRPr="00075AD1">
        <w:rPr>
          <w:rFonts w:ascii="Arial" w:hAnsi="Arial" w:cs="Arial"/>
          <w:color w:val="010000"/>
          <w:sz w:val="20"/>
        </w:rPr>
        <w:t xml:space="preserve"> 10 Joint Stock Company: VND 90.1 billion and VND 78.9 billion.</w:t>
      </w:r>
    </w:p>
    <w:p w14:paraId="385AD6FD"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Explanation on the auditor's qualified opinion of the audit company regarding inventory:</w:t>
      </w:r>
    </w:p>
    <w:p w14:paraId="0FF68CD8"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 xml:space="preserve">This is due to the characteristics of being construction units that carry out construction projects in many places, far away and with complex construction items. In particular, </w:t>
      </w:r>
      <w:proofErr w:type="spellStart"/>
      <w:r w:rsidRPr="00075AD1">
        <w:rPr>
          <w:rFonts w:ascii="Arial" w:hAnsi="Arial" w:cs="Arial"/>
          <w:color w:val="010000"/>
          <w:sz w:val="20"/>
        </w:rPr>
        <w:t>Licogi</w:t>
      </w:r>
      <w:proofErr w:type="spellEnd"/>
      <w:r w:rsidRPr="00075AD1">
        <w:rPr>
          <w:rFonts w:ascii="Arial" w:hAnsi="Arial" w:cs="Arial"/>
          <w:color w:val="010000"/>
          <w:sz w:val="20"/>
        </w:rPr>
        <w:t xml:space="preserve"> 10 Joint Stock Company and </w:t>
      </w:r>
      <w:proofErr w:type="spellStart"/>
      <w:r w:rsidRPr="00075AD1">
        <w:rPr>
          <w:rFonts w:ascii="Arial" w:hAnsi="Arial" w:cs="Arial"/>
          <w:color w:val="010000"/>
          <w:sz w:val="20"/>
        </w:rPr>
        <w:t>Licogi</w:t>
      </w:r>
      <w:proofErr w:type="spellEnd"/>
      <w:r w:rsidRPr="00075AD1">
        <w:rPr>
          <w:rFonts w:ascii="Arial" w:hAnsi="Arial" w:cs="Arial"/>
          <w:color w:val="010000"/>
          <w:sz w:val="20"/>
        </w:rPr>
        <w:t xml:space="preserve"> 15 Joint Stock Company are units with projects under construction in Laos and the Central provinces.</w:t>
      </w:r>
    </w:p>
    <w:p w14:paraId="0085E149" w14:textId="77777777" w:rsidR="0059455B" w:rsidRPr="00075AD1" w:rsidRDefault="00846084" w:rsidP="006877D6">
      <w:pPr>
        <w:keepNext/>
        <w:numPr>
          <w:ilvl w:val="0"/>
          <w:numId w:val="2"/>
        </w:numPr>
        <w:pBdr>
          <w:top w:val="nil"/>
          <w:left w:val="nil"/>
          <w:bottom w:val="nil"/>
          <w:right w:val="nil"/>
          <w:between w:val="nil"/>
        </w:pBdr>
        <w:tabs>
          <w:tab w:val="left" w:pos="432"/>
          <w:tab w:val="left" w:pos="1016"/>
        </w:tabs>
        <w:spacing w:after="120" w:line="360" w:lineRule="auto"/>
        <w:jc w:val="both"/>
        <w:rPr>
          <w:rFonts w:ascii="Arial" w:eastAsia="Arial" w:hAnsi="Arial" w:cs="Arial"/>
          <w:color w:val="010000"/>
          <w:sz w:val="20"/>
          <w:szCs w:val="20"/>
        </w:rPr>
      </w:pPr>
      <w:r w:rsidRPr="00075AD1">
        <w:rPr>
          <w:rFonts w:ascii="Arial" w:hAnsi="Arial" w:cs="Arial"/>
          <w:color w:val="010000"/>
          <w:sz w:val="20"/>
        </w:rPr>
        <w:t>Explanation on the auditor's qualified opinion of the audit company regarding other issues:</w:t>
      </w:r>
    </w:p>
    <w:p w14:paraId="2B206472" w14:textId="17B1A53F"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 xml:space="preserve">As of December 31, 2023, </w:t>
      </w:r>
      <w:proofErr w:type="spellStart"/>
      <w:r w:rsidRPr="00075AD1">
        <w:rPr>
          <w:rFonts w:ascii="Arial" w:hAnsi="Arial" w:cs="Arial"/>
          <w:color w:val="010000"/>
          <w:sz w:val="20"/>
        </w:rPr>
        <w:t>Licogi</w:t>
      </w:r>
      <w:proofErr w:type="spellEnd"/>
      <w:r w:rsidRPr="00075AD1">
        <w:rPr>
          <w:rFonts w:ascii="Arial" w:hAnsi="Arial" w:cs="Arial"/>
          <w:color w:val="010000"/>
          <w:sz w:val="20"/>
        </w:rPr>
        <w:t xml:space="preserve"> 15 Joint Stock Company has not recorded loan interest expenses according to the Notice on overdue debt and total interest balance and penalty interest balance of the Company at Joint Stock Commercial Bank for Investment and Development of Vietnam - </w:t>
      </w:r>
      <w:proofErr w:type="spellStart"/>
      <w:r w:rsidRPr="00075AD1">
        <w:rPr>
          <w:rFonts w:ascii="Arial" w:hAnsi="Arial" w:cs="Arial"/>
          <w:color w:val="010000"/>
          <w:sz w:val="20"/>
        </w:rPr>
        <w:t>Bim</w:t>
      </w:r>
      <w:proofErr w:type="spellEnd"/>
      <w:r w:rsidRPr="00075AD1">
        <w:rPr>
          <w:rFonts w:ascii="Arial" w:hAnsi="Arial" w:cs="Arial"/>
          <w:color w:val="010000"/>
          <w:sz w:val="20"/>
        </w:rPr>
        <w:t xml:space="preserve"> Son Branch being VND 11.4 billion and VND 1.8 billion respectively. For other loans, because we cannot collect loan contracts arising from previous years and there is still a balance until December 31, 2023, we cannot fully estimate the interest that the Company needs to record. As a result, we cannot determine the necessary adjustments related to profit/(loss) in the Corporation's Consolidated Financial Statemen</w:t>
      </w:r>
      <w:r w:rsidR="006877D6">
        <w:rPr>
          <w:rFonts w:ascii="Arial" w:hAnsi="Arial" w:cs="Arial"/>
          <w:color w:val="010000"/>
          <w:sz w:val="20"/>
        </w:rPr>
        <w:t>ts for the fiscal year ended</w:t>
      </w:r>
      <w:r w:rsidRPr="00075AD1">
        <w:rPr>
          <w:rFonts w:ascii="Arial" w:hAnsi="Arial" w:cs="Arial"/>
          <w:color w:val="010000"/>
          <w:sz w:val="20"/>
        </w:rPr>
        <w:t xml:space="preserve"> December 31, 2023.</w:t>
      </w:r>
    </w:p>
    <w:p w14:paraId="14BA225D"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Explanation on the auditor's qualified opinion of the audit company regarding the above issues:</w:t>
      </w:r>
    </w:p>
    <w:p w14:paraId="43C50A90" w14:textId="415F8D4A" w:rsidR="0059455B" w:rsidRPr="00075AD1" w:rsidRDefault="00846084" w:rsidP="006877D6">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075AD1">
        <w:rPr>
          <w:rFonts w:ascii="Arial" w:hAnsi="Arial" w:cs="Arial"/>
          <w:color w:val="010000"/>
          <w:sz w:val="20"/>
        </w:rPr>
        <w:t>Because the Company has a particularly difficult production and business status, long-term losses, enforced invoices, accounts blocked for tax payment, we must request individual invoices each time, causing difficulties for the enterprises because they do not have capital to operate. This issue has also been raised by audits from previous years' Financial Statements and has not been resolved until now. This auditor’s opinion can be removed when</w:t>
      </w:r>
      <w:r w:rsidR="006877D6">
        <w:rPr>
          <w:rFonts w:ascii="Arial" w:hAnsi="Arial" w:cs="Arial"/>
          <w:color w:val="010000"/>
          <w:sz w:val="20"/>
        </w:rPr>
        <w:t xml:space="preserve"> subsidiaries overcome these aforementioned</w:t>
      </w:r>
      <w:r w:rsidRPr="00075AD1">
        <w:rPr>
          <w:rFonts w:ascii="Arial" w:hAnsi="Arial" w:cs="Arial"/>
          <w:color w:val="010000"/>
          <w:sz w:val="20"/>
        </w:rPr>
        <w:t xml:space="preserve"> issues.</w:t>
      </w:r>
    </w:p>
    <w:p w14:paraId="6751D375" w14:textId="357DE5EC" w:rsidR="00075AD1" w:rsidRPr="00075AD1" w:rsidRDefault="00075AD1" w:rsidP="006877D6">
      <w:pPr>
        <w:pBdr>
          <w:top w:val="nil"/>
          <w:left w:val="nil"/>
          <w:bottom w:val="single" w:sz="6" w:space="1" w:color="auto"/>
          <w:right w:val="nil"/>
          <w:between w:val="nil"/>
        </w:pBdr>
        <w:tabs>
          <w:tab w:val="left" w:pos="432"/>
        </w:tabs>
        <w:spacing w:after="120" w:line="360" w:lineRule="auto"/>
        <w:jc w:val="both"/>
        <w:rPr>
          <w:rFonts w:ascii="Arial" w:hAnsi="Arial" w:cs="Arial"/>
          <w:color w:val="010000"/>
          <w:sz w:val="20"/>
        </w:rPr>
      </w:pPr>
    </w:p>
    <w:p w14:paraId="34494909"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 xml:space="preserve">On March 30, 2024, </w:t>
      </w:r>
      <w:proofErr w:type="spellStart"/>
      <w:r w:rsidRPr="00075AD1">
        <w:rPr>
          <w:rFonts w:ascii="Arial" w:hAnsi="Arial" w:cs="Arial"/>
          <w:color w:val="010000"/>
          <w:sz w:val="20"/>
        </w:rPr>
        <w:t>Licogi</w:t>
      </w:r>
      <w:proofErr w:type="spellEnd"/>
      <w:r w:rsidRPr="00075AD1">
        <w:rPr>
          <w:rFonts w:ascii="Arial" w:hAnsi="Arial" w:cs="Arial"/>
          <w:color w:val="010000"/>
          <w:sz w:val="20"/>
        </w:rPr>
        <w:t xml:space="preserve"> Corporation - JSC announced Official Dispatch No. 136/2023/CV-TCKT on explaining fluctuations in profit after tax in 2023 in the Audited Consolidated Financial Statements compared to the same period last year as follows:</w:t>
      </w:r>
    </w:p>
    <w:p w14:paraId="7A83B21C" w14:textId="77777777" w:rsidR="0059455B" w:rsidRPr="00075AD1" w:rsidRDefault="00846084" w:rsidP="006877D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75AD1">
        <w:rPr>
          <w:rFonts w:ascii="Arial" w:hAnsi="Arial" w:cs="Arial"/>
          <w:color w:val="010000"/>
          <w:sz w:val="20"/>
        </w:rPr>
        <w:lastRenderedPageBreak/>
        <w:t>Explanation on fluctuations in profit before and after audit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8"/>
        <w:gridCol w:w="4089"/>
        <w:gridCol w:w="1503"/>
        <w:gridCol w:w="1468"/>
        <w:gridCol w:w="1351"/>
      </w:tblGrid>
      <w:tr w:rsidR="0059455B" w:rsidRPr="00075AD1" w14:paraId="3598655D" w14:textId="77777777" w:rsidTr="00846084">
        <w:tc>
          <w:tcPr>
            <w:tcW w:w="337" w:type="pct"/>
            <w:vMerge w:val="restart"/>
            <w:shd w:val="clear" w:color="auto" w:fill="auto"/>
            <w:tcMar>
              <w:top w:w="0" w:type="dxa"/>
              <w:bottom w:w="0" w:type="dxa"/>
            </w:tcMar>
            <w:vAlign w:val="center"/>
          </w:tcPr>
          <w:p w14:paraId="2954E631"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No.</w:t>
            </w:r>
          </w:p>
        </w:tc>
        <w:tc>
          <w:tcPr>
            <w:tcW w:w="2267" w:type="pct"/>
            <w:vMerge w:val="restart"/>
            <w:shd w:val="clear" w:color="auto" w:fill="auto"/>
            <w:tcMar>
              <w:top w:w="0" w:type="dxa"/>
              <w:bottom w:w="0" w:type="dxa"/>
            </w:tcMar>
            <w:vAlign w:val="center"/>
          </w:tcPr>
          <w:p w14:paraId="390FAFC1"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Target</w:t>
            </w:r>
          </w:p>
        </w:tc>
        <w:tc>
          <w:tcPr>
            <w:tcW w:w="833" w:type="pct"/>
            <w:shd w:val="clear" w:color="auto" w:fill="auto"/>
            <w:tcMar>
              <w:top w:w="0" w:type="dxa"/>
              <w:bottom w:w="0" w:type="dxa"/>
            </w:tcMar>
            <w:vAlign w:val="center"/>
          </w:tcPr>
          <w:p w14:paraId="29D663AB"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Data after audit</w:t>
            </w:r>
          </w:p>
        </w:tc>
        <w:tc>
          <w:tcPr>
            <w:tcW w:w="814" w:type="pct"/>
            <w:shd w:val="clear" w:color="auto" w:fill="auto"/>
            <w:tcMar>
              <w:top w:w="0" w:type="dxa"/>
              <w:bottom w:w="0" w:type="dxa"/>
            </w:tcMar>
            <w:vAlign w:val="center"/>
          </w:tcPr>
          <w:p w14:paraId="20BA67D2"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Data before audit</w:t>
            </w:r>
          </w:p>
        </w:tc>
        <w:tc>
          <w:tcPr>
            <w:tcW w:w="749" w:type="pct"/>
            <w:vMerge w:val="restart"/>
            <w:shd w:val="clear" w:color="auto" w:fill="auto"/>
            <w:tcMar>
              <w:top w:w="0" w:type="dxa"/>
              <w:bottom w:w="0" w:type="dxa"/>
            </w:tcMar>
            <w:vAlign w:val="center"/>
          </w:tcPr>
          <w:p w14:paraId="2A2DAED2"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Fluctuation (%)</w:t>
            </w:r>
          </w:p>
        </w:tc>
      </w:tr>
      <w:tr w:rsidR="0059455B" w:rsidRPr="00075AD1" w14:paraId="45DBDBCD" w14:textId="77777777" w:rsidTr="00846084">
        <w:tc>
          <w:tcPr>
            <w:tcW w:w="337" w:type="pct"/>
            <w:vMerge/>
            <w:shd w:val="clear" w:color="auto" w:fill="auto"/>
            <w:tcMar>
              <w:top w:w="0" w:type="dxa"/>
              <w:bottom w:w="0" w:type="dxa"/>
            </w:tcMar>
            <w:vAlign w:val="center"/>
          </w:tcPr>
          <w:p w14:paraId="327567AB" w14:textId="77777777" w:rsidR="0059455B" w:rsidRPr="00075AD1" w:rsidRDefault="0059455B" w:rsidP="006877D6">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2267" w:type="pct"/>
            <w:vMerge/>
            <w:shd w:val="clear" w:color="auto" w:fill="auto"/>
            <w:tcMar>
              <w:top w:w="0" w:type="dxa"/>
              <w:bottom w:w="0" w:type="dxa"/>
            </w:tcMar>
            <w:vAlign w:val="center"/>
          </w:tcPr>
          <w:p w14:paraId="5D16DE84" w14:textId="77777777" w:rsidR="0059455B" w:rsidRPr="00075AD1" w:rsidRDefault="0059455B" w:rsidP="006877D6">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833" w:type="pct"/>
            <w:shd w:val="clear" w:color="auto" w:fill="auto"/>
            <w:tcMar>
              <w:top w:w="0" w:type="dxa"/>
              <w:bottom w:w="0" w:type="dxa"/>
            </w:tcMar>
            <w:vAlign w:val="center"/>
          </w:tcPr>
          <w:p w14:paraId="51634E29"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(Million VND)</w:t>
            </w:r>
          </w:p>
        </w:tc>
        <w:tc>
          <w:tcPr>
            <w:tcW w:w="814" w:type="pct"/>
            <w:shd w:val="clear" w:color="auto" w:fill="auto"/>
            <w:tcMar>
              <w:top w:w="0" w:type="dxa"/>
              <w:bottom w:w="0" w:type="dxa"/>
            </w:tcMar>
            <w:vAlign w:val="center"/>
          </w:tcPr>
          <w:p w14:paraId="69BA5D6C"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(Million VND)</w:t>
            </w:r>
          </w:p>
        </w:tc>
        <w:tc>
          <w:tcPr>
            <w:tcW w:w="749" w:type="pct"/>
            <w:vMerge/>
            <w:shd w:val="clear" w:color="auto" w:fill="auto"/>
            <w:tcMar>
              <w:top w:w="0" w:type="dxa"/>
              <w:bottom w:w="0" w:type="dxa"/>
            </w:tcMar>
            <w:vAlign w:val="center"/>
          </w:tcPr>
          <w:p w14:paraId="2D9EF2F8" w14:textId="77777777" w:rsidR="0059455B" w:rsidRPr="00075AD1" w:rsidRDefault="0059455B" w:rsidP="006877D6">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59455B" w:rsidRPr="00075AD1" w14:paraId="43B9A323" w14:textId="77777777" w:rsidTr="00846084">
        <w:tc>
          <w:tcPr>
            <w:tcW w:w="337" w:type="pct"/>
            <w:shd w:val="clear" w:color="auto" w:fill="auto"/>
            <w:tcMar>
              <w:top w:w="0" w:type="dxa"/>
              <w:bottom w:w="0" w:type="dxa"/>
            </w:tcMar>
            <w:vAlign w:val="center"/>
          </w:tcPr>
          <w:p w14:paraId="1E8C1ACC"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1</w:t>
            </w:r>
          </w:p>
        </w:tc>
        <w:tc>
          <w:tcPr>
            <w:tcW w:w="2267" w:type="pct"/>
            <w:shd w:val="clear" w:color="auto" w:fill="auto"/>
            <w:tcMar>
              <w:top w:w="0" w:type="dxa"/>
              <w:bottom w:w="0" w:type="dxa"/>
            </w:tcMar>
            <w:vAlign w:val="center"/>
          </w:tcPr>
          <w:p w14:paraId="7FECB6FB"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Revenue from business activities and revenue from financial activities</w:t>
            </w:r>
          </w:p>
        </w:tc>
        <w:tc>
          <w:tcPr>
            <w:tcW w:w="833" w:type="pct"/>
            <w:shd w:val="clear" w:color="auto" w:fill="auto"/>
            <w:tcMar>
              <w:top w:w="0" w:type="dxa"/>
              <w:bottom w:w="0" w:type="dxa"/>
            </w:tcMar>
            <w:vAlign w:val="center"/>
          </w:tcPr>
          <w:p w14:paraId="3734C833"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2,205,198</w:t>
            </w:r>
          </w:p>
        </w:tc>
        <w:tc>
          <w:tcPr>
            <w:tcW w:w="814" w:type="pct"/>
            <w:shd w:val="clear" w:color="auto" w:fill="auto"/>
            <w:tcMar>
              <w:top w:w="0" w:type="dxa"/>
              <w:bottom w:w="0" w:type="dxa"/>
            </w:tcMar>
            <w:vAlign w:val="center"/>
          </w:tcPr>
          <w:p w14:paraId="7EF120AB"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2,206,372</w:t>
            </w:r>
          </w:p>
        </w:tc>
        <w:tc>
          <w:tcPr>
            <w:tcW w:w="749" w:type="pct"/>
            <w:shd w:val="clear" w:color="auto" w:fill="auto"/>
            <w:tcMar>
              <w:top w:w="0" w:type="dxa"/>
              <w:bottom w:w="0" w:type="dxa"/>
            </w:tcMar>
            <w:vAlign w:val="center"/>
          </w:tcPr>
          <w:p w14:paraId="037F3FA7"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-0.05%</w:t>
            </w:r>
          </w:p>
        </w:tc>
      </w:tr>
      <w:tr w:rsidR="0059455B" w:rsidRPr="00075AD1" w14:paraId="2F595D16" w14:textId="77777777" w:rsidTr="00846084">
        <w:tc>
          <w:tcPr>
            <w:tcW w:w="337" w:type="pct"/>
            <w:shd w:val="clear" w:color="auto" w:fill="auto"/>
            <w:tcMar>
              <w:top w:w="0" w:type="dxa"/>
              <w:bottom w:w="0" w:type="dxa"/>
            </w:tcMar>
            <w:vAlign w:val="center"/>
          </w:tcPr>
          <w:p w14:paraId="43B45BC4"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2</w:t>
            </w:r>
          </w:p>
        </w:tc>
        <w:tc>
          <w:tcPr>
            <w:tcW w:w="2267" w:type="pct"/>
            <w:shd w:val="clear" w:color="auto" w:fill="auto"/>
            <w:tcMar>
              <w:top w:w="0" w:type="dxa"/>
              <w:bottom w:w="0" w:type="dxa"/>
            </w:tcMar>
            <w:vAlign w:val="center"/>
          </w:tcPr>
          <w:p w14:paraId="7931572D"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Total expenses</w:t>
            </w:r>
          </w:p>
        </w:tc>
        <w:tc>
          <w:tcPr>
            <w:tcW w:w="833" w:type="pct"/>
            <w:shd w:val="clear" w:color="auto" w:fill="auto"/>
            <w:tcMar>
              <w:top w:w="0" w:type="dxa"/>
              <w:bottom w:w="0" w:type="dxa"/>
            </w:tcMar>
            <w:vAlign w:val="center"/>
          </w:tcPr>
          <w:p w14:paraId="74EA458B"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2,175,821</w:t>
            </w:r>
          </w:p>
        </w:tc>
        <w:tc>
          <w:tcPr>
            <w:tcW w:w="814" w:type="pct"/>
            <w:shd w:val="clear" w:color="auto" w:fill="auto"/>
            <w:tcMar>
              <w:top w:w="0" w:type="dxa"/>
              <w:bottom w:w="0" w:type="dxa"/>
            </w:tcMar>
            <w:vAlign w:val="center"/>
          </w:tcPr>
          <w:p w14:paraId="5A7ACA6C"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2,175,446</w:t>
            </w:r>
          </w:p>
        </w:tc>
        <w:tc>
          <w:tcPr>
            <w:tcW w:w="749" w:type="pct"/>
            <w:shd w:val="clear" w:color="auto" w:fill="auto"/>
            <w:tcMar>
              <w:top w:w="0" w:type="dxa"/>
              <w:bottom w:w="0" w:type="dxa"/>
            </w:tcMar>
            <w:vAlign w:val="center"/>
          </w:tcPr>
          <w:p w14:paraId="33B484DA"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0.02%</w:t>
            </w:r>
          </w:p>
        </w:tc>
      </w:tr>
      <w:tr w:rsidR="0059455B" w:rsidRPr="00075AD1" w14:paraId="36583083" w14:textId="77777777" w:rsidTr="00846084">
        <w:tc>
          <w:tcPr>
            <w:tcW w:w="337" w:type="pct"/>
            <w:shd w:val="clear" w:color="auto" w:fill="auto"/>
            <w:tcMar>
              <w:top w:w="0" w:type="dxa"/>
              <w:bottom w:w="0" w:type="dxa"/>
            </w:tcMar>
            <w:vAlign w:val="center"/>
          </w:tcPr>
          <w:p w14:paraId="1254F02F"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3</w:t>
            </w:r>
          </w:p>
        </w:tc>
        <w:tc>
          <w:tcPr>
            <w:tcW w:w="2267" w:type="pct"/>
            <w:shd w:val="clear" w:color="auto" w:fill="auto"/>
            <w:tcMar>
              <w:top w:w="0" w:type="dxa"/>
              <w:bottom w:w="0" w:type="dxa"/>
            </w:tcMar>
            <w:vAlign w:val="center"/>
          </w:tcPr>
          <w:p w14:paraId="5F8EF0B9"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Other incomes</w:t>
            </w:r>
          </w:p>
        </w:tc>
        <w:tc>
          <w:tcPr>
            <w:tcW w:w="833" w:type="pct"/>
            <w:shd w:val="clear" w:color="auto" w:fill="auto"/>
            <w:tcMar>
              <w:top w:w="0" w:type="dxa"/>
              <w:bottom w:w="0" w:type="dxa"/>
            </w:tcMar>
            <w:vAlign w:val="center"/>
          </w:tcPr>
          <w:p w14:paraId="09B5C526"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9,834</w:t>
            </w:r>
          </w:p>
        </w:tc>
        <w:tc>
          <w:tcPr>
            <w:tcW w:w="814" w:type="pct"/>
            <w:shd w:val="clear" w:color="auto" w:fill="auto"/>
            <w:tcMar>
              <w:top w:w="0" w:type="dxa"/>
              <w:bottom w:w="0" w:type="dxa"/>
            </w:tcMar>
            <w:vAlign w:val="center"/>
          </w:tcPr>
          <w:p w14:paraId="1D58F16A"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9,909</w:t>
            </w:r>
          </w:p>
        </w:tc>
        <w:tc>
          <w:tcPr>
            <w:tcW w:w="749" w:type="pct"/>
            <w:shd w:val="clear" w:color="auto" w:fill="auto"/>
            <w:tcMar>
              <w:top w:w="0" w:type="dxa"/>
              <w:bottom w:w="0" w:type="dxa"/>
            </w:tcMar>
            <w:vAlign w:val="center"/>
          </w:tcPr>
          <w:p w14:paraId="7832223B"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-0.76%</w:t>
            </w:r>
          </w:p>
        </w:tc>
      </w:tr>
      <w:tr w:rsidR="0059455B" w:rsidRPr="00075AD1" w14:paraId="20D4AF41" w14:textId="77777777" w:rsidTr="00846084">
        <w:tc>
          <w:tcPr>
            <w:tcW w:w="337" w:type="pct"/>
            <w:shd w:val="clear" w:color="auto" w:fill="auto"/>
            <w:tcMar>
              <w:top w:w="0" w:type="dxa"/>
              <w:bottom w:w="0" w:type="dxa"/>
            </w:tcMar>
            <w:vAlign w:val="center"/>
          </w:tcPr>
          <w:p w14:paraId="7049EDD3"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4</w:t>
            </w:r>
          </w:p>
        </w:tc>
        <w:tc>
          <w:tcPr>
            <w:tcW w:w="2267" w:type="pct"/>
            <w:shd w:val="clear" w:color="auto" w:fill="auto"/>
            <w:tcMar>
              <w:top w:w="0" w:type="dxa"/>
              <w:bottom w:w="0" w:type="dxa"/>
            </w:tcMar>
            <w:vAlign w:val="center"/>
          </w:tcPr>
          <w:p w14:paraId="5F35A87E"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Other expenses</w:t>
            </w:r>
          </w:p>
        </w:tc>
        <w:tc>
          <w:tcPr>
            <w:tcW w:w="833" w:type="pct"/>
            <w:shd w:val="clear" w:color="auto" w:fill="auto"/>
            <w:tcMar>
              <w:top w:w="0" w:type="dxa"/>
              <w:bottom w:w="0" w:type="dxa"/>
            </w:tcMar>
            <w:vAlign w:val="center"/>
          </w:tcPr>
          <w:p w14:paraId="288DD8E5"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23,493</w:t>
            </w:r>
          </w:p>
        </w:tc>
        <w:tc>
          <w:tcPr>
            <w:tcW w:w="814" w:type="pct"/>
            <w:shd w:val="clear" w:color="auto" w:fill="auto"/>
            <w:tcMar>
              <w:top w:w="0" w:type="dxa"/>
              <w:bottom w:w="0" w:type="dxa"/>
            </w:tcMar>
            <w:vAlign w:val="center"/>
          </w:tcPr>
          <w:p w14:paraId="64C68AFA"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21,866</w:t>
            </w:r>
          </w:p>
        </w:tc>
        <w:tc>
          <w:tcPr>
            <w:tcW w:w="749" w:type="pct"/>
            <w:shd w:val="clear" w:color="auto" w:fill="auto"/>
            <w:tcMar>
              <w:top w:w="0" w:type="dxa"/>
              <w:bottom w:w="0" w:type="dxa"/>
            </w:tcMar>
            <w:vAlign w:val="center"/>
          </w:tcPr>
          <w:p w14:paraId="2FCE8518"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7.44%</w:t>
            </w:r>
          </w:p>
        </w:tc>
      </w:tr>
      <w:tr w:rsidR="0059455B" w:rsidRPr="00075AD1" w14:paraId="01D1E75B" w14:textId="77777777" w:rsidTr="00846084">
        <w:tc>
          <w:tcPr>
            <w:tcW w:w="337" w:type="pct"/>
            <w:shd w:val="clear" w:color="auto" w:fill="auto"/>
            <w:tcMar>
              <w:top w:w="0" w:type="dxa"/>
              <w:bottom w:w="0" w:type="dxa"/>
            </w:tcMar>
            <w:vAlign w:val="center"/>
          </w:tcPr>
          <w:p w14:paraId="1A5419AC"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5</w:t>
            </w:r>
          </w:p>
        </w:tc>
        <w:tc>
          <w:tcPr>
            <w:tcW w:w="2267" w:type="pct"/>
            <w:shd w:val="clear" w:color="auto" w:fill="auto"/>
            <w:tcMar>
              <w:top w:w="0" w:type="dxa"/>
              <w:bottom w:w="0" w:type="dxa"/>
            </w:tcMar>
            <w:vAlign w:val="center"/>
          </w:tcPr>
          <w:p w14:paraId="276992C9"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Profit before tax</w:t>
            </w:r>
          </w:p>
        </w:tc>
        <w:tc>
          <w:tcPr>
            <w:tcW w:w="833" w:type="pct"/>
            <w:shd w:val="clear" w:color="auto" w:fill="auto"/>
            <w:tcMar>
              <w:top w:w="0" w:type="dxa"/>
              <w:bottom w:w="0" w:type="dxa"/>
            </w:tcMar>
            <w:vAlign w:val="center"/>
          </w:tcPr>
          <w:p w14:paraId="1830DE72"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15,718</w:t>
            </w:r>
          </w:p>
        </w:tc>
        <w:tc>
          <w:tcPr>
            <w:tcW w:w="814" w:type="pct"/>
            <w:shd w:val="clear" w:color="auto" w:fill="auto"/>
            <w:tcMar>
              <w:top w:w="0" w:type="dxa"/>
              <w:bottom w:w="0" w:type="dxa"/>
            </w:tcMar>
            <w:vAlign w:val="center"/>
          </w:tcPr>
          <w:p w14:paraId="25D28273"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18,969</w:t>
            </w:r>
          </w:p>
        </w:tc>
        <w:tc>
          <w:tcPr>
            <w:tcW w:w="749" w:type="pct"/>
            <w:shd w:val="clear" w:color="auto" w:fill="auto"/>
            <w:tcMar>
              <w:top w:w="0" w:type="dxa"/>
              <w:bottom w:w="0" w:type="dxa"/>
            </w:tcMar>
            <w:vAlign w:val="center"/>
          </w:tcPr>
          <w:p w14:paraId="17E330C0"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-17.14%</w:t>
            </w:r>
          </w:p>
        </w:tc>
      </w:tr>
      <w:tr w:rsidR="0059455B" w:rsidRPr="00075AD1" w14:paraId="3CC3693E" w14:textId="77777777" w:rsidTr="00846084">
        <w:tc>
          <w:tcPr>
            <w:tcW w:w="337" w:type="pct"/>
            <w:shd w:val="clear" w:color="auto" w:fill="auto"/>
            <w:tcMar>
              <w:top w:w="0" w:type="dxa"/>
              <w:bottom w:w="0" w:type="dxa"/>
            </w:tcMar>
            <w:vAlign w:val="center"/>
          </w:tcPr>
          <w:p w14:paraId="6CA54AF9"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6</w:t>
            </w:r>
          </w:p>
        </w:tc>
        <w:tc>
          <w:tcPr>
            <w:tcW w:w="2267" w:type="pct"/>
            <w:shd w:val="clear" w:color="auto" w:fill="auto"/>
            <w:tcMar>
              <w:top w:w="0" w:type="dxa"/>
              <w:bottom w:w="0" w:type="dxa"/>
            </w:tcMar>
            <w:vAlign w:val="center"/>
          </w:tcPr>
          <w:p w14:paraId="1C3A2627"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Corporate income tax</w:t>
            </w:r>
          </w:p>
        </w:tc>
        <w:tc>
          <w:tcPr>
            <w:tcW w:w="833" w:type="pct"/>
            <w:shd w:val="clear" w:color="auto" w:fill="auto"/>
            <w:tcMar>
              <w:top w:w="0" w:type="dxa"/>
              <w:bottom w:w="0" w:type="dxa"/>
            </w:tcMar>
            <w:vAlign w:val="center"/>
          </w:tcPr>
          <w:p w14:paraId="7DD65BBD"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8,923</w:t>
            </w:r>
          </w:p>
        </w:tc>
        <w:tc>
          <w:tcPr>
            <w:tcW w:w="814" w:type="pct"/>
            <w:shd w:val="clear" w:color="auto" w:fill="auto"/>
            <w:tcMar>
              <w:top w:w="0" w:type="dxa"/>
              <w:bottom w:w="0" w:type="dxa"/>
            </w:tcMar>
            <w:vAlign w:val="center"/>
          </w:tcPr>
          <w:p w14:paraId="238A5CFF"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8,550</w:t>
            </w:r>
          </w:p>
        </w:tc>
        <w:tc>
          <w:tcPr>
            <w:tcW w:w="749" w:type="pct"/>
            <w:shd w:val="clear" w:color="auto" w:fill="auto"/>
            <w:tcMar>
              <w:top w:w="0" w:type="dxa"/>
              <w:bottom w:w="0" w:type="dxa"/>
            </w:tcMar>
            <w:vAlign w:val="center"/>
          </w:tcPr>
          <w:p w14:paraId="0E1E5584"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4.36%</w:t>
            </w:r>
          </w:p>
        </w:tc>
      </w:tr>
      <w:tr w:rsidR="0059455B" w:rsidRPr="00075AD1" w14:paraId="3A02C967" w14:textId="77777777" w:rsidTr="00846084">
        <w:tc>
          <w:tcPr>
            <w:tcW w:w="337" w:type="pct"/>
            <w:shd w:val="clear" w:color="auto" w:fill="auto"/>
            <w:tcMar>
              <w:top w:w="0" w:type="dxa"/>
              <w:bottom w:w="0" w:type="dxa"/>
            </w:tcMar>
            <w:vAlign w:val="center"/>
          </w:tcPr>
          <w:p w14:paraId="2FA94385"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7</w:t>
            </w:r>
          </w:p>
        </w:tc>
        <w:tc>
          <w:tcPr>
            <w:tcW w:w="2267" w:type="pct"/>
            <w:shd w:val="clear" w:color="auto" w:fill="auto"/>
            <w:tcMar>
              <w:top w:w="0" w:type="dxa"/>
              <w:bottom w:w="0" w:type="dxa"/>
            </w:tcMar>
            <w:vAlign w:val="center"/>
          </w:tcPr>
          <w:p w14:paraId="0B90108C"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Profit after tax</w:t>
            </w:r>
          </w:p>
        </w:tc>
        <w:tc>
          <w:tcPr>
            <w:tcW w:w="833" w:type="pct"/>
            <w:shd w:val="clear" w:color="auto" w:fill="auto"/>
            <w:tcMar>
              <w:top w:w="0" w:type="dxa"/>
              <w:bottom w:w="0" w:type="dxa"/>
            </w:tcMar>
            <w:vAlign w:val="center"/>
          </w:tcPr>
          <w:p w14:paraId="30D78C6C"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6,795</w:t>
            </w:r>
          </w:p>
        </w:tc>
        <w:tc>
          <w:tcPr>
            <w:tcW w:w="814" w:type="pct"/>
            <w:shd w:val="clear" w:color="auto" w:fill="auto"/>
            <w:tcMar>
              <w:top w:w="0" w:type="dxa"/>
              <w:bottom w:w="0" w:type="dxa"/>
            </w:tcMar>
            <w:vAlign w:val="center"/>
          </w:tcPr>
          <w:p w14:paraId="5832E29A"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10,419</w:t>
            </w:r>
          </w:p>
        </w:tc>
        <w:tc>
          <w:tcPr>
            <w:tcW w:w="749" w:type="pct"/>
            <w:shd w:val="clear" w:color="auto" w:fill="auto"/>
            <w:tcMar>
              <w:top w:w="0" w:type="dxa"/>
              <w:bottom w:w="0" w:type="dxa"/>
            </w:tcMar>
            <w:vAlign w:val="center"/>
          </w:tcPr>
          <w:p w14:paraId="332BFFD8"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-34.78%</w:t>
            </w:r>
          </w:p>
        </w:tc>
      </w:tr>
    </w:tbl>
    <w:p w14:paraId="17F53648" w14:textId="28C7FB6D"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 xml:space="preserve">Explanation on profit difference </w:t>
      </w:r>
      <w:r w:rsidR="00075AD1" w:rsidRPr="00075AD1">
        <w:rPr>
          <w:rFonts w:ascii="Arial" w:hAnsi="Arial" w:cs="Arial"/>
          <w:color w:val="010000"/>
          <w:sz w:val="20"/>
        </w:rPr>
        <w:t xml:space="preserve">of </w:t>
      </w:r>
      <w:r w:rsidRPr="00075AD1">
        <w:rPr>
          <w:rFonts w:ascii="Arial" w:hAnsi="Arial" w:cs="Arial"/>
          <w:color w:val="010000"/>
          <w:sz w:val="20"/>
        </w:rPr>
        <w:t>over 10%:</w:t>
      </w:r>
    </w:p>
    <w:p w14:paraId="35303509" w14:textId="345E53C5"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 xml:space="preserve">Profit after tax in the Audited Consolidated Financial Statements 2023 </w:t>
      </w:r>
      <w:r w:rsidR="00075AD1" w:rsidRPr="00075AD1">
        <w:rPr>
          <w:rFonts w:ascii="Arial" w:hAnsi="Arial" w:cs="Arial"/>
          <w:color w:val="010000"/>
          <w:sz w:val="20"/>
        </w:rPr>
        <w:t>decreased</w:t>
      </w:r>
      <w:r w:rsidRPr="00075AD1">
        <w:rPr>
          <w:rFonts w:ascii="Arial" w:hAnsi="Arial" w:cs="Arial"/>
          <w:color w:val="010000"/>
          <w:sz w:val="20"/>
        </w:rPr>
        <w:t xml:space="preserve"> by VND 3,624 billion (equivalent to a decrease of 34.78%) compared to the pre-audit book mainly due to the following reasons:</w:t>
      </w:r>
    </w:p>
    <w:p w14:paraId="156F5BAF" w14:textId="77777777" w:rsidR="0059455B" w:rsidRPr="00075AD1" w:rsidRDefault="00846084" w:rsidP="006877D6">
      <w:pPr>
        <w:numPr>
          <w:ilvl w:val="0"/>
          <w:numId w:val="3"/>
        </w:numPr>
        <w:pBdr>
          <w:top w:val="nil"/>
          <w:left w:val="nil"/>
          <w:bottom w:val="nil"/>
          <w:right w:val="nil"/>
          <w:between w:val="nil"/>
        </w:pBdr>
        <w:tabs>
          <w:tab w:val="left" w:pos="432"/>
          <w:tab w:val="left" w:pos="710"/>
        </w:tabs>
        <w:spacing w:after="120" w:line="360" w:lineRule="auto"/>
        <w:jc w:val="both"/>
        <w:rPr>
          <w:rFonts w:ascii="Arial" w:eastAsia="Arial" w:hAnsi="Arial" w:cs="Arial"/>
          <w:color w:val="010000"/>
          <w:sz w:val="20"/>
          <w:szCs w:val="20"/>
        </w:rPr>
      </w:pPr>
      <w:r w:rsidRPr="00075AD1">
        <w:rPr>
          <w:rFonts w:ascii="Arial" w:hAnsi="Arial" w:cs="Arial"/>
          <w:color w:val="010000"/>
          <w:sz w:val="20"/>
        </w:rPr>
        <w:t xml:space="preserve">These companies adjust their profits to decrease after the audit: </w:t>
      </w:r>
      <w:proofErr w:type="spellStart"/>
      <w:r w:rsidRPr="00075AD1">
        <w:rPr>
          <w:rFonts w:ascii="Arial" w:hAnsi="Arial" w:cs="Arial"/>
          <w:color w:val="010000"/>
          <w:sz w:val="20"/>
        </w:rPr>
        <w:t>Licogi</w:t>
      </w:r>
      <w:proofErr w:type="spellEnd"/>
      <w:r w:rsidRPr="00075AD1">
        <w:rPr>
          <w:rFonts w:ascii="Arial" w:hAnsi="Arial" w:cs="Arial"/>
          <w:color w:val="010000"/>
          <w:sz w:val="20"/>
        </w:rPr>
        <w:t xml:space="preserve"> 2 Company, </w:t>
      </w:r>
      <w:proofErr w:type="spellStart"/>
      <w:r w:rsidRPr="00075AD1">
        <w:rPr>
          <w:rFonts w:ascii="Arial" w:hAnsi="Arial" w:cs="Arial"/>
          <w:color w:val="010000"/>
          <w:sz w:val="20"/>
        </w:rPr>
        <w:t>Licogi</w:t>
      </w:r>
      <w:proofErr w:type="spellEnd"/>
      <w:r w:rsidRPr="00075AD1">
        <w:rPr>
          <w:rFonts w:ascii="Arial" w:hAnsi="Arial" w:cs="Arial"/>
          <w:color w:val="010000"/>
          <w:sz w:val="20"/>
        </w:rPr>
        <w:t xml:space="preserve"> 10 Company, Water Electrical System and Machinery Installation </w:t>
      </w:r>
      <w:proofErr w:type="spellStart"/>
      <w:r w:rsidRPr="00075AD1">
        <w:rPr>
          <w:rFonts w:ascii="Arial" w:hAnsi="Arial" w:cs="Arial"/>
          <w:color w:val="010000"/>
          <w:sz w:val="20"/>
        </w:rPr>
        <w:t>Licogi</w:t>
      </w:r>
      <w:proofErr w:type="spellEnd"/>
      <w:r w:rsidRPr="00075AD1">
        <w:rPr>
          <w:rFonts w:ascii="Arial" w:hAnsi="Arial" w:cs="Arial"/>
          <w:color w:val="010000"/>
          <w:sz w:val="20"/>
        </w:rPr>
        <w:t xml:space="preserve"> Joint Stock Company...</w:t>
      </w:r>
    </w:p>
    <w:p w14:paraId="6C1D1200" w14:textId="77777777" w:rsidR="0059455B" w:rsidRPr="00075AD1" w:rsidRDefault="00846084" w:rsidP="006877D6">
      <w:pPr>
        <w:numPr>
          <w:ilvl w:val="0"/>
          <w:numId w:val="3"/>
        </w:numPr>
        <w:pBdr>
          <w:top w:val="nil"/>
          <w:left w:val="nil"/>
          <w:bottom w:val="nil"/>
          <w:right w:val="nil"/>
          <w:between w:val="nil"/>
        </w:pBdr>
        <w:tabs>
          <w:tab w:val="left" w:pos="432"/>
          <w:tab w:val="left" w:pos="710"/>
        </w:tabs>
        <w:spacing w:after="120" w:line="360" w:lineRule="auto"/>
        <w:jc w:val="both"/>
        <w:rPr>
          <w:rFonts w:ascii="Arial" w:eastAsia="Arial" w:hAnsi="Arial" w:cs="Arial"/>
          <w:color w:val="010000"/>
          <w:sz w:val="20"/>
          <w:szCs w:val="20"/>
        </w:rPr>
      </w:pPr>
      <w:r w:rsidRPr="00075AD1">
        <w:rPr>
          <w:rFonts w:ascii="Arial" w:hAnsi="Arial" w:cs="Arial"/>
          <w:color w:val="010000"/>
          <w:sz w:val="20"/>
        </w:rPr>
        <w:t>Profit from the joint venture: Bac Ha Hydropower Joint Stock Company decreases compared to before the audit.</w:t>
      </w:r>
    </w:p>
    <w:p w14:paraId="32488A81" w14:textId="77777777" w:rsidR="0059455B" w:rsidRPr="00075AD1" w:rsidRDefault="00846084" w:rsidP="006877D6">
      <w:pPr>
        <w:numPr>
          <w:ilvl w:val="0"/>
          <w:numId w:val="4"/>
        </w:numPr>
        <w:pBdr>
          <w:top w:val="nil"/>
          <w:left w:val="nil"/>
          <w:bottom w:val="nil"/>
          <w:right w:val="nil"/>
          <w:between w:val="nil"/>
        </w:pBdr>
        <w:tabs>
          <w:tab w:val="left" w:pos="432"/>
          <w:tab w:val="left" w:pos="710"/>
        </w:tabs>
        <w:spacing w:after="120" w:line="360" w:lineRule="auto"/>
        <w:jc w:val="both"/>
        <w:rPr>
          <w:rFonts w:ascii="Arial" w:eastAsia="Arial" w:hAnsi="Arial" w:cs="Arial"/>
          <w:color w:val="010000"/>
          <w:sz w:val="20"/>
          <w:szCs w:val="20"/>
        </w:rPr>
      </w:pPr>
      <w:r w:rsidRPr="00075AD1">
        <w:rPr>
          <w:rFonts w:ascii="Arial" w:hAnsi="Arial" w:cs="Arial"/>
          <w:color w:val="010000"/>
          <w:sz w:val="20"/>
        </w:rPr>
        <w:t>Explanation on audited business results in 2023 compared to the same period in 2022</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2"/>
        <w:gridCol w:w="4104"/>
        <w:gridCol w:w="1499"/>
        <w:gridCol w:w="1465"/>
        <w:gridCol w:w="1349"/>
      </w:tblGrid>
      <w:tr w:rsidR="0059455B" w:rsidRPr="00075AD1" w14:paraId="71DD03AA" w14:textId="77777777" w:rsidTr="00846084">
        <w:tc>
          <w:tcPr>
            <w:tcW w:w="334" w:type="pct"/>
            <w:vMerge w:val="restart"/>
            <w:shd w:val="clear" w:color="auto" w:fill="auto"/>
            <w:tcMar>
              <w:top w:w="0" w:type="dxa"/>
              <w:bottom w:w="0" w:type="dxa"/>
            </w:tcMar>
            <w:vAlign w:val="center"/>
          </w:tcPr>
          <w:p w14:paraId="23F63E1F"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No.</w:t>
            </w:r>
          </w:p>
        </w:tc>
        <w:tc>
          <w:tcPr>
            <w:tcW w:w="2275" w:type="pct"/>
            <w:vMerge w:val="restart"/>
            <w:shd w:val="clear" w:color="auto" w:fill="auto"/>
            <w:tcMar>
              <w:top w:w="0" w:type="dxa"/>
              <w:bottom w:w="0" w:type="dxa"/>
            </w:tcMar>
            <w:vAlign w:val="center"/>
          </w:tcPr>
          <w:p w14:paraId="38B9FB23"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Target</w:t>
            </w:r>
          </w:p>
        </w:tc>
        <w:tc>
          <w:tcPr>
            <w:tcW w:w="831" w:type="pct"/>
            <w:shd w:val="clear" w:color="auto" w:fill="auto"/>
            <w:tcMar>
              <w:top w:w="0" w:type="dxa"/>
              <w:bottom w:w="0" w:type="dxa"/>
            </w:tcMar>
            <w:vAlign w:val="center"/>
          </w:tcPr>
          <w:p w14:paraId="51E43951"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2023</w:t>
            </w:r>
          </w:p>
        </w:tc>
        <w:tc>
          <w:tcPr>
            <w:tcW w:w="812" w:type="pct"/>
            <w:shd w:val="clear" w:color="auto" w:fill="auto"/>
            <w:tcMar>
              <w:top w:w="0" w:type="dxa"/>
              <w:bottom w:w="0" w:type="dxa"/>
            </w:tcMar>
            <w:vAlign w:val="center"/>
          </w:tcPr>
          <w:p w14:paraId="3B77BCD5"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2022</w:t>
            </w:r>
          </w:p>
        </w:tc>
        <w:tc>
          <w:tcPr>
            <w:tcW w:w="748" w:type="pct"/>
            <w:vMerge w:val="restart"/>
            <w:shd w:val="clear" w:color="auto" w:fill="auto"/>
            <w:tcMar>
              <w:top w:w="0" w:type="dxa"/>
              <w:bottom w:w="0" w:type="dxa"/>
            </w:tcMar>
            <w:vAlign w:val="center"/>
          </w:tcPr>
          <w:p w14:paraId="76F00AD8" w14:textId="21C072A0"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Fluctuation (%)</w:t>
            </w:r>
          </w:p>
        </w:tc>
      </w:tr>
      <w:tr w:rsidR="0059455B" w:rsidRPr="00075AD1" w14:paraId="2B21CD47" w14:textId="77777777" w:rsidTr="00846084">
        <w:tc>
          <w:tcPr>
            <w:tcW w:w="334" w:type="pct"/>
            <w:vMerge/>
            <w:shd w:val="clear" w:color="auto" w:fill="auto"/>
            <w:tcMar>
              <w:top w:w="0" w:type="dxa"/>
              <w:bottom w:w="0" w:type="dxa"/>
            </w:tcMar>
            <w:vAlign w:val="center"/>
          </w:tcPr>
          <w:p w14:paraId="46E2930F" w14:textId="77777777" w:rsidR="0059455B" w:rsidRPr="00075AD1" w:rsidRDefault="0059455B" w:rsidP="006877D6">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2275" w:type="pct"/>
            <w:vMerge/>
            <w:shd w:val="clear" w:color="auto" w:fill="auto"/>
            <w:tcMar>
              <w:top w:w="0" w:type="dxa"/>
              <w:bottom w:w="0" w:type="dxa"/>
            </w:tcMar>
            <w:vAlign w:val="center"/>
          </w:tcPr>
          <w:p w14:paraId="7D307B7D" w14:textId="77777777" w:rsidR="0059455B" w:rsidRPr="00075AD1" w:rsidRDefault="0059455B" w:rsidP="006877D6">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831" w:type="pct"/>
            <w:shd w:val="clear" w:color="auto" w:fill="auto"/>
            <w:tcMar>
              <w:top w:w="0" w:type="dxa"/>
              <w:bottom w:w="0" w:type="dxa"/>
            </w:tcMar>
            <w:vAlign w:val="center"/>
          </w:tcPr>
          <w:p w14:paraId="47FE70D5"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(Million VND)</w:t>
            </w:r>
          </w:p>
        </w:tc>
        <w:tc>
          <w:tcPr>
            <w:tcW w:w="812" w:type="pct"/>
            <w:shd w:val="clear" w:color="auto" w:fill="auto"/>
            <w:tcMar>
              <w:top w:w="0" w:type="dxa"/>
              <w:bottom w:w="0" w:type="dxa"/>
            </w:tcMar>
            <w:vAlign w:val="center"/>
          </w:tcPr>
          <w:p w14:paraId="073B7020"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(Million VND)</w:t>
            </w:r>
          </w:p>
        </w:tc>
        <w:tc>
          <w:tcPr>
            <w:tcW w:w="748" w:type="pct"/>
            <w:vMerge/>
            <w:shd w:val="clear" w:color="auto" w:fill="auto"/>
            <w:tcMar>
              <w:top w:w="0" w:type="dxa"/>
              <w:bottom w:w="0" w:type="dxa"/>
            </w:tcMar>
            <w:vAlign w:val="center"/>
          </w:tcPr>
          <w:p w14:paraId="0E493FD0" w14:textId="77777777" w:rsidR="0059455B" w:rsidRPr="00075AD1" w:rsidRDefault="0059455B" w:rsidP="006877D6">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59455B" w:rsidRPr="00075AD1" w14:paraId="3521B264" w14:textId="77777777" w:rsidTr="00846084">
        <w:tc>
          <w:tcPr>
            <w:tcW w:w="334" w:type="pct"/>
            <w:shd w:val="clear" w:color="auto" w:fill="auto"/>
            <w:tcMar>
              <w:top w:w="0" w:type="dxa"/>
              <w:bottom w:w="0" w:type="dxa"/>
            </w:tcMar>
            <w:vAlign w:val="center"/>
          </w:tcPr>
          <w:p w14:paraId="4ACCF7E8"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1</w:t>
            </w:r>
          </w:p>
        </w:tc>
        <w:tc>
          <w:tcPr>
            <w:tcW w:w="2275" w:type="pct"/>
            <w:shd w:val="clear" w:color="auto" w:fill="auto"/>
            <w:tcMar>
              <w:top w:w="0" w:type="dxa"/>
              <w:bottom w:w="0" w:type="dxa"/>
            </w:tcMar>
            <w:vAlign w:val="center"/>
          </w:tcPr>
          <w:p w14:paraId="344F5453"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Revenue from business activities and revenue from financial activities</w:t>
            </w:r>
          </w:p>
        </w:tc>
        <w:tc>
          <w:tcPr>
            <w:tcW w:w="831" w:type="pct"/>
            <w:shd w:val="clear" w:color="auto" w:fill="auto"/>
            <w:tcMar>
              <w:top w:w="0" w:type="dxa"/>
              <w:bottom w:w="0" w:type="dxa"/>
            </w:tcMar>
            <w:vAlign w:val="center"/>
          </w:tcPr>
          <w:p w14:paraId="6262D435"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2,205,198</w:t>
            </w:r>
          </w:p>
        </w:tc>
        <w:tc>
          <w:tcPr>
            <w:tcW w:w="812" w:type="pct"/>
            <w:shd w:val="clear" w:color="auto" w:fill="auto"/>
            <w:tcMar>
              <w:top w:w="0" w:type="dxa"/>
              <w:bottom w:w="0" w:type="dxa"/>
            </w:tcMar>
            <w:vAlign w:val="center"/>
          </w:tcPr>
          <w:p w14:paraId="0473F037"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2,325,434</w:t>
            </w:r>
          </w:p>
        </w:tc>
        <w:tc>
          <w:tcPr>
            <w:tcW w:w="748" w:type="pct"/>
            <w:shd w:val="clear" w:color="auto" w:fill="auto"/>
            <w:tcMar>
              <w:top w:w="0" w:type="dxa"/>
              <w:bottom w:w="0" w:type="dxa"/>
            </w:tcMar>
            <w:vAlign w:val="center"/>
          </w:tcPr>
          <w:p w14:paraId="6ED3243A"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-5.2%</w:t>
            </w:r>
          </w:p>
        </w:tc>
      </w:tr>
      <w:tr w:rsidR="0059455B" w:rsidRPr="00075AD1" w14:paraId="2005B1F5" w14:textId="77777777" w:rsidTr="00846084">
        <w:tc>
          <w:tcPr>
            <w:tcW w:w="334" w:type="pct"/>
            <w:shd w:val="clear" w:color="auto" w:fill="auto"/>
            <w:tcMar>
              <w:top w:w="0" w:type="dxa"/>
              <w:bottom w:w="0" w:type="dxa"/>
            </w:tcMar>
            <w:vAlign w:val="center"/>
          </w:tcPr>
          <w:p w14:paraId="68C580C4"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2</w:t>
            </w:r>
          </w:p>
        </w:tc>
        <w:tc>
          <w:tcPr>
            <w:tcW w:w="2275" w:type="pct"/>
            <w:shd w:val="clear" w:color="auto" w:fill="auto"/>
            <w:tcMar>
              <w:top w:w="0" w:type="dxa"/>
              <w:bottom w:w="0" w:type="dxa"/>
            </w:tcMar>
            <w:vAlign w:val="center"/>
          </w:tcPr>
          <w:p w14:paraId="7BE9C241"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Total expense</w:t>
            </w:r>
          </w:p>
        </w:tc>
        <w:tc>
          <w:tcPr>
            <w:tcW w:w="831" w:type="pct"/>
            <w:shd w:val="clear" w:color="auto" w:fill="auto"/>
            <w:tcMar>
              <w:top w:w="0" w:type="dxa"/>
              <w:bottom w:w="0" w:type="dxa"/>
            </w:tcMar>
            <w:vAlign w:val="center"/>
          </w:tcPr>
          <w:p w14:paraId="51CE3CC3"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2,175,821</w:t>
            </w:r>
          </w:p>
        </w:tc>
        <w:tc>
          <w:tcPr>
            <w:tcW w:w="812" w:type="pct"/>
            <w:shd w:val="clear" w:color="auto" w:fill="auto"/>
            <w:tcMar>
              <w:top w:w="0" w:type="dxa"/>
              <w:bottom w:w="0" w:type="dxa"/>
            </w:tcMar>
            <w:vAlign w:val="center"/>
          </w:tcPr>
          <w:p w14:paraId="6FFDD622"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2,235,016</w:t>
            </w:r>
          </w:p>
        </w:tc>
        <w:tc>
          <w:tcPr>
            <w:tcW w:w="748" w:type="pct"/>
            <w:shd w:val="clear" w:color="auto" w:fill="auto"/>
            <w:tcMar>
              <w:top w:w="0" w:type="dxa"/>
              <w:bottom w:w="0" w:type="dxa"/>
            </w:tcMar>
            <w:vAlign w:val="center"/>
          </w:tcPr>
          <w:p w14:paraId="780CD99F"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-2.6%</w:t>
            </w:r>
          </w:p>
        </w:tc>
      </w:tr>
      <w:tr w:rsidR="0059455B" w:rsidRPr="00075AD1" w14:paraId="7C1C8DE1" w14:textId="77777777" w:rsidTr="00846084">
        <w:tc>
          <w:tcPr>
            <w:tcW w:w="334" w:type="pct"/>
            <w:shd w:val="clear" w:color="auto" w:fill="auto"/>
            <w:tcMar>
              <w:top w:w="0" w:type="dxa"/>
              <w:bottom w:w="0" w:type="dxa"/>
            </w:tcMar>
            <w:vAlign w:val="center"/>
          </w:tcPr>
          <w:p w14:paraId="1588CDF6"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3</w:t>
            </w:r>
          </w:p>
        </w:tc>
        <w:tc>
          <w:tcPr>
            <w:tcW w:w="2275" w:type="pct"/>
            <w:shd w:val="clear" w:color="auto" w:fill="auto"/>
            <w:tcMar>
              <w:top w:w="0" w:type="dxa"/>
              <w:bottom w:w="0" w:type="dxa"/>
            </w:tcMar>
            <w:vAlign w:val="center"/>
          </w:tcPr>
          <w:p w14:paraId="3C52148F"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Other incomes</w:t>
            </w:r>
          </w:p>
        </w:tc>
        <w:tc>
          <w:tcPr>
            <w:tcW w:w="831" w:type="pct"/>
            <w:shd w:val="clear" w:color="auto" w:fill="auto"/>
            <w:tcMar>
              <w:top w:w="0" w:type="dxa"/>
              <w:bottom w:w="0" w:type="dxa"/>
            </w:tcMar>
            <w:vAlign w:val="center"/>
          </w:tcPr>
          <w:p w14:paraId="33EB82A6"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9,834</w:t>
            </w:r>
          </w:p>
        </w:tc>
        <w:tc>
          <w:tcPr>
            <w:tcW w:w="812" w:type="pct"/>
            <w:shd w:val="clear" w:color="auto" w:fill="auto"/>
            <w:tcMar>
              <w:top w:w="0" w:type="dxa"/>
              <w:bottom w:w="0" w:type="dxa"/>
            </w:tcMar>
            <w:vAlign w:val="center"/>
          </w:tcPr>
          <w:p w14:paraId="6CFFE5D4"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8,651</w:t>
            </w:r>
          </w:p>
        </w:tc>
        <w:tc>
          <w:tcPr>
            <w:tcW w:w="748" w:type="pct"/>
            <w:shd w:val="clear" w:color="auto" w:fill="auto"/>
            <w:tcMar>
              <w:top w:w="0" w:type="dxa"/>
              <w:bottom w:w="0" w:type="dxa"/>
            </w:tcMar>
            <w:vAlign w:val="center"/>
          </w:tcPr>
          <w:p w14:paraId="3020F9D1"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13.7%</w:t>
            </w:r>
          </w:p>
        </w:tc>
      </w:tr>
      <w:tr w:rsidR="0059455B" w:rsidRPr="00075AD1" w14:paraId="2B32D368" w14:textId="77777777" w:rsidTr="00846084">
        <w:tc>
          <w:tcPr>
            <w:tcW w:w="334" w:type="pct"/>
            <w:shd w:val="clear" w:color="auto" w:fill="auto"/>
            <w:tcMar>
              <w:top w:w="0" w:type="dxa"/>
              <w:bottom w:w="0" w:type="dxa"/>
            </w:tcMar>
            <w:vAlign w:val="center"/>
          </w:tcPr>
          <w:p w14:paraId="6E7BF176"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4</w:t>
            </w:r>
          </w:p>
        </w:tc>
        <w:tc>
          <w:tcPr>
            <w:tcW w:w="2275" w:type="pct"/>
            <w:shd w:val="clear" w:color="auto" w:fill="auto"/>
            <w:tcMar>
              <w:top w:w="0" w:type="dxa"/>
              <w:bottom w:w="0" w:type="dxa"/>
            </w:tcMar>
            <w:vAlign w:val="center"/>
          </w:tcPr>
          <w:p w14:paraId="23EB3E78"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Other expenses</w:t>
            </w:r>
          </w:p>
        </w:tc>
        <w:tc>
          <w:tcPr>
            <w:tcW w:w="831" w:type="pct"/>
            <w:shd w:val="clear" w:color="auto" w:fill="auto"/>
            <w:tcMar>
              <w:top w:w="0" w:type="dxa"/>
              <w:bottom w:w="0" w:type="dxa"/>
            </w:tcMar>
            <w:vAlign w:val="center"/>
          </w:tcPr>
          <w:p w14:paraId="12C84C27" w14:textId="1033A966"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23</w:t>
            </w:r>
            <w:r w:rsidR="00075AD1" w:rsidRPr="00075AD1">
              <w:rPr>
                <w:rFonts w:ascii="Arial" w:hAnsi="Arial" w:cs="Arial"/>
                <w:color w:val="010000"/>
                <w:sz w:val="20"/>
              </w:rPr>
              <w:t>,</w:t>
            </w:r>
            <w:r w:rsidRPr="00075AD1">
              <w:rPr>
                <w:rFonts w:ascii="Arial" w:hAnsi="Arial" w:cs="Arial"/>
                <w:color w:val="010000"/>
                <w:sz w:val="20"/>
              </w:rPr>
              <w:t>493</w:t>
            </w:r>
          </w:p>
        </w:tc>
        <w:tc>
          <w:tcPr>
            <w:tcW w:w="812" w:type="pct"/>
            <w:shd w:val="clear" w:color="auto" w:fill="auto"/>
            <w:tcMar>
              <w:top w:w="0" w:type="dxa"/>
              <w:bottom w:w="0" w:type="dxa"/>
            </w:tcMar>
            <w:vAlign w:val="center"/>
          </w:tcPr>
          <w:p w14:paraId="291E1D61" w14:textId="0FBAA810"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46</w:t>
            </w:r>
            <w:r w:rsidR="00075AD1" w:rsidRPr="00075AD1">
              <w:rPr>
                <w:rFonts w:ascii="Arial" w:hAnsi="Arial" w:cs="Arial"/>
                <w:color w:val="010000"/>
                <w:sz w:val="20"/>
              </w:rPr>
              <w:t>,</w:t>
            </w:r>
            <w:r w:rsidRPr="00075AD1">
              <w:rPr>
                <w:rFonts w:ascii="Arial" w:hAnsi="Arial" w:cs="Arial"/>
                <w:color w:val="010000"/>
                <w:sz w:val="20"/>
              </w:rPr>
              <w:t>610</w:t>
            </w:r>
          </w:p>
        </w:tc>
        <w:tc>
          <w:tcPr>
            <w:tcW w:w="748" w:type="pct"/>
            <w:shd w:val="clear" w:color="auto" w:fill="auto"/>
            <w:tcMar>
              <w:top w:w="0" w:type="dxa"/>
              <w:bottom w:w="0" w:type="dxa"/>
            </w:tcMar>
            <w:vAlign w:val="center"/>
          </w:tcPr>
          <w:p w14:paraId="0359E856"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-49.6%</w:t>
            </w:r>
          </w:p>
        </w:tc>
      </w:tr>
      <w:tr w:rsidR="0059455B" w:rsidRPr="00075AD1" w14:paraId="751AF0E3" w14:textId="77777777" w:rsidTr="00846084">
        <w:tc>
          <w:tcPr>
            <w:tcW w:w="334" w:type="pct"/>
            <w:shd w:val="clear" w:color="auto" w:fill="auto"/>
            <w:tcMar>
              <w:top w:w="0" w:type="dxa"/>
              <w:bottom w:w="0" w:type="dxa"/>
            </w:tcMar>
            <w:vAlign w:val="center"/>
          </w:tcPr>
          <w:p w14:paraId="57E4FE0B"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5</w:t>
            </w:r>
          </w:p>
        </w:tc>
        <w:tc>
          <w:tcPr>
            <w:tcW w:w="2275" w:type="pct"/>
            <w:shd w:val="clear" w:color="auto" w:fill="auto"/>
            <w:tcMar>
              <w:top w:w="0" w:type="dxa"/>
              <w:bottom w:w="0" w:type="dxa"/>
            </w:tcMar>
            <w:vAlign w:val="center"/>
          </w:tcPr>
          <w:p w14:paraId="06F2CDDB"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Profit before tax</w:t>
            </w:r>
          </w:p>
        </w:tc>
        <w:tc>
          <w:tcPr>
            <w:tcW w:w="831" w:type="pct"/>
            <w:shd w:val="clear" w:color="auto" w:fill="auto"/>
            <w:tcMar>
              <w:top w:w="0" w:type="dxa"/>
              <w:bottom w:w="0" w:type="dxa"/>
            </w:tcMar>
            <w:vAlign w:val="center"/>
          </w:tcPr>
          <w:p w14:paraId="2BD00694" w14:textId="2EC2CFD4"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15</w:t>
            </w:r>
            <w:r w:rsidR="00075AD1" w:rsidRPr="00075AD1">
              <w:rPr>
                <w:rFonts w:ascii="Arial" w:hAnsi="Arial" w:cs="Arial"/>
                <w:color w:val="010000"/>
                <w:sz w:val="20"/>
              </w:rPr>
              <w:t>,</w:t>
            </w:r>
            <w:r w:rsidRPr="00075AD1">
              <w:rPr>
                <w:rFonts w:ascii="Arial" w:hAnsi="Arial" w:cs="Arial"/>
                <w:color w:val="010000"/>
                <w:sz w:val="20"/>
              </w:rPr>
              <w:t>718</w:t>
            </w:r>
          </w:p>
        </w:tc>
        <w:tc>
          <w:tcPr>
            <w:tcW w:w="812" w:type="pct"/>
            <w:shd w:val="clear" w:color="auto" w:fill="auto"/>
            <w:tcMar>
              <w:top w:w="0" w:type="dxa"/>
              <w:bottom w:w="0" w:type="dxa"/>
            </w:tcMar>
            <w:vAlign w:val="center"/>
          </w:tcPr>
          <w:p w14:paraId="66992232" w14:textId="1448541D"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52</w:t>
            </w:r>
            <w:r w:rsidR="00075AD1" w:rsidRPr="00075AD1">
              <w:rPr>
                <w:rFonts w:ascii="Arial" w:hAnsi="Arial" w:cs="Arial"/>
                <w:color w:val="010000"/>
                <w:sz w:val="20"/>
              </w:rPr>
              <w:t>,</w:t>
            </w:r>
            <w:r w:rsidRPr="00075AD1">
              <w:rPr>
                <w:rFonts w:ascii="Arial" w:hAnsi="Arial" w:cs="Arial"/>
                <w:color w:val="010000"/>
                <w:sz w:val="20"/>
              </w:rPr>
              <w:t>459</w:t>
            </w:r>
          </w:p>
        </w:tc>
        <w:tc>
          <w:tcPr>
            <w:tcW w:w="748" w:type="pct"/>
            <w:shd w:val="clear" w:color="auto" w:fill="auto"/>
            <w:tcMar>
              <w:top w:w="0" w:type="dxa"/>
              <w:bottom w:w="0" w:type="dxa"/>
            </w:tcMar>
            <w:vAlign w:val="center"/>
          </w:tcPr>
          <w:p w14:paraId="1BC1CE7A"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-70.0%</w:t>
            </w:r>
          </w:p>
        </w:tc>
      </w:tr>
      <w:tr w:rsidR="0059455B" w:rsidRPr="00075AD1" w14:paraId="02279CCA" w14:textId="77777777" w:rsidTr="00846084">
        <w:tc>
          <w:tcPr>
            <w:tcW w:w="334" w:type="pct"/>
            <w:shd w:val="clear" w:color="auto" w:fill="auto"/>
            <w:tcMar>
              <w:top w:w="0" w:type="dxa"/>
              <w:bottom w:w="0" w:type="dxa"/>
            </w:tcMar>
            <w:vAlign w:val="center"/>
          </w:tcPr>
          <w:p w14:paraId="25983B1D"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6</w:t>
            </w:r>
          </w:p>
        </w:tc>
        <w:tc>
          <w:tcPr>
            <w:tcW w:w="2275" w:type="pct"/>
            <w:shd w:val="clear" w:color="auto" w:fill="auto"/>
            <w:tcMar>
              <w:top w:w="0" w:type="dxa"/>
              <w:bottom w:w="0" w:type="dxa"/>
            </w:tcMar>
            <w:vAlign w:val="center"/>
          </w:tcPr>
          <w:p w14:paraId="5C208ABF"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Corporate income tax</w:t>
            </w:r>
          </w:p>
        </w:tc>
        <w:tc>
          <w:tcPr>
            <w:tcW w:w="831" w:type="pct"/>
            <w:shd w:val="clear" w:color="auto" w:fill="auto"/>
            <w:tcMar>
              <w:top w:w="0" w:type="dxa"/>
              <w:bottom w:w="0" w:type="dxa"/>
            </w:tcMar>
            <w:vAlign w:val="center"/>
          </w:tcPr>
          <w:p w14:paraId="6777989A" w14:textId="780B1DCB"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8</w:t>
            </w:r>
            <w:r w:rsidR="00075AD1" w:rsidRPr="00075AD1">
              <w:rPr>
                <w:rFonts w:ascii="Arial" w:hAnsi="Arial" w:cs="Arial"/>
                <w:color w:val="010000"/>
                <w:sz w:val="20"/>
              </w:rPr>
              <w:t>,</w:t>
            </w:r>
            <w:r w:rsidRPr="00075AD1">
              <w:rPr>
                <w:rFonts w:ascii="Arial" w:hAnsi="Arial" w:cs="Arial"/>
                <w:color w:val="010000"/>
                <w:sz w:val="20"/>
              </w:rPr>
              <w:t>923</w:t>
            </w:r>
          </w:p>
        </w:tc>
        <w:tc>
          <w:tcPr>
            <w:tcW w:w="812" w:type="pct"/>
            <w:shd w:val="clear" w:color="auto" w:fill="auto"/>
            <w:tcMar>
              <w:top w:w="0" w:type="dxa"/>
              <w:bottom w:w="0" w:type="dxa"/>
            </w:tcMar>
            <w:vAlign w:val="center"/>
          </w:tcPr>
          <w:p w14:paraId="72263644" w14:textId="04D935FF"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8</w:t>
            </w:r>
            <w:r w:rsidR="00075AD1" w:rsidRPr="00075AD1">
              <w:rPr>
                <w:rFonts w:ascii="Arial" w:hAnsi="Arial" w:cs="Arial"/>
                <w:color w:val="010000"/>
                <w:sz w:val="20"/>
              </w:rPr>
              <w:t>,</w:t>
            </w:r>
            <w:r w:rsidRPr="00075AD1">
              <w:rPr>
                <w:rFonts w:ascii="Arial" w:hAnsi="Arial" w:cs="Arial"/>
                <w:color w:val="010000"/>
                <w:sz w:val="20"/>
              </w:rPr>
              <w:t>550</w:t>
            </w:r>
          </w:p>
        </w:tc>
        <w:tc>
          <w:tcPr>
            <w:tcW w:w="748" w:type="pct"/>
            <w:shd w:val="clear" w:color="auto" w:fill="auto"/>
            <w:tcMar>
              <w:top w:w="0" w:type="dxa"/>
              <w:bottom w:w="0" w:type="dxa"/>
            </w:tcMar>
            <w:vAlign w:val="center"/>
          </w:tcPr>
          <w:p w14:paraId="3EFCC53D"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4.4%</w:t>
            </w:r>
          </w:p>
        </w:tc>
      </w:tr>
      <w:tr w:rsidR="0059455B" w:rsidRPr="00075AD1" w14:paraId="3C4E49FE" w14:textId="77777777" w:rsidTr="00846084">
        <w:tc>
          <w:tcPr>
            <w:tcW w:w="334" w:type="pct"/>
            <w:shd w:val="clear" w:color="auto" w:fill="auto"/>
            <w:tcMar>
              <w:top w:w="0" w:type="dxa"/>
              <w:bottom w:w="0" w:type="dxa"/>
            </w:tcMar>
            <w:vAlign w:val="center"/>
          </w:tcPr>
          <w:p w14:paraId="44B6ACE0"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7</w:t>
            </w:r>
          </w:p>
        </w:tc>
        <w:tc>
          <w:tcPr>
            <w:tcW w:w="2275" w:type="pct"/>
            <w:shd w:val="clear" w:color="auto" w:fill="auto"/>
            <w:tcMar>
              <w:top w:w="0" w:type="dxa"/>
              <w:bottom w:w="0" w:type="dxa"/>
            </w:tcMar>
            <w:vAlign w:val="center"/>
          </w:tcPr>
          <w:p w14:paraId="2F12EFC2"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Profit after tax</w:t>
            </w:r>
          </w:p>
        </w:tc>
        <w:tc>
          <w:tcPr>
            <w:tcW w:w="831" w:type="pct"/>
            <w:shd w:val="clear" w:color="auto" w:fill="auto"/>
            <w:tcMar>
              <w:top w:w="0" w:type="dxa"/>
              <w:bottom w:w="0" w:type="dxa"/>
            </w:tcMar>
            <w:vAlign w:val="center"/>
          </w:tcPr>
          <w:p w14:paraId="0484C2EB" w14:textId="3F56FBF6"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6</w:t>
            </w:r>
            <w:r w:rsidR="00075AD1" w:rsidRPr="00075AD1">
              <w:rPr>
                <w:rFonts w:ascii="Arial" w:hAnsi="Arial" w:cs="Arial"/>
                <w:color w:val="010000"/>
                <w:sz w:val="20"/>
              </w:rPr>
              <w:t>,</w:t>
            </w:r>
            <w:r w:rsidRPr="00075AD1">
              <w:rPr>
                <w:rFonts w:ascii="Arial" w:hAnsi="Arial" w:cs="Arial"/>
                <w:color w:val="010000"/>
                <w:sz w:val="20"/>
              </w:rPr>
              <w:t>795</w:t>
            </w:r>
          </w:p>
        </w:tc>
        <w:tc>
          <w:tcPr>
            <w:tcW w:w="812" w:type="pct"/>
            <w:shd w:val="clear" w:color="auto" w:fill="auto"/>
            <w:tcMar>
              <w:top w:w="0" w:type="dxa"/>
              <w:bottom w:w="0" w:type="dxa"/>
            </w:tcMar>
            <w:vAlign w:val="center"/>
          </w:tcPr>
          <w:p w14:paraId="743651E3" w14:textId="12674DC5"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43</w:t>
            </w:r>
            <w:r w:rsidR="00075AD1" w:rsidRPr="00075AD1">
              <w:rPr>
                <w:rFonts w:ascii="Arial" w:hAnsi="Arial" w:cs="Arial"/>
                <w:color w:val="010000"/>
                <w:sz w:val="20"/>
              </w:rPr>
              <w:t>,</w:t>
            </w:r>
            <w:r w:rsidRPr="00075AD1">
              <w:rPr>
                <w:rFonts w:ascii="Arial" w:hAnsi="Arial" w:cs="Arial"/>
                <w:color w:val="010000"/>
                <w:sz w:val="20"/>
              </w:rPr>
              <w:t>909</w:t>
            </w:r>
          </w:p>
        </w:tc>
        <w:tc>
          <w:tcPr>
            <w:tcW w:w="748" w:type="pct"/>
            <w:shd w:val="clear" w:color="auto" w:fill="auto"/>
            <w:tcMar>
              <w:top w:w="0" w:type="dxa"/>
              <w:bottom w:w="0" w:type="dxa"/>
            </w:tcMar>
            <w:vAlign w:val="center"/>
          </w:tcPr>
          <w:p w14:paraId="62F06B39"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-84.5%</w:t>
            </w:r>
          </w:p>
        </w:tc>
      </w:tr>
    </w:tbl>
    <w:p w14:paraId="22795869"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lastRenderedPageBreak/>
        <w:t>Explanation on profit difference over 10%:</w:t>
      </w:r>
    </w:p>
    <w:p w14:paraId="24418465"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Profit after tax in the Audited Consolidated Financial Statements 2023 reaches VND 6,795 billion, decreasing by VND 37,114 billion (equivalent to a decrease of 84.5%) compared to the same period in 2022, mainly due to the following reasons:</w:t>
      </w:r>
    </w:p>
    <w:p w14:paraId="0080DEC7" w14:textId="0E9BCE23" w:rsidR="0059455B" w:rsidRPr="00075AD1" w:rsidRDefault="00846084" w:rsidP="006877D6">
      <w:pPr>
        <w:numPr>
          <w:ilvl w:val="0"/>
          <w:numId w:val="3"/>
        </w:numPr>
        <w:pBdr>
          <w:top w:val="nil"/>
          <w:left w:val="nil"/>
          <w:bottom w:val="nil"/>
          <w:right w:val="nil"/>
          <w:between w:val="nil"/>
        </w:pBdr>
        <w:tabs>
          <w:tab w:val="left" w:pos="432"/>
          <w:tab w:val="left" w:pos="759"/>
        </w:tabs>
        <w:spacing w:after="120" w:line="360" w:lineRule="auto"/>
        <w:jc w:val="both"/>
        <w:rPr>
          <w:rFonts w:ascii="Arial" w:eastAsia="Arial" w:hAnsi="Arial" w:cs="Arial"/>
          <w:color w:val="010000"/>
          <w:sz w:val="20"/>
          <w:szCs w:val="20"/>
        </w:rPr>
      </w:pPr>
      <w:r w:rsidRPr="00075AD1">
        <w:rPr>
          <w:rFonts w:ascii="Arial" w:hAnsi="Arial" w:cs="Arial"/>
          <w:color w:val="010000"/>
          <w:sz w:val="20"/>
        </w:rPr>
        <w:t xml:space="preserve">Profit after </w:t>
      </w:r>
      <w:r w:rsidR="006877D6">
        <w:rPr>
          <w:rFonts w:ascii="Arial" w:hAnsi="Arial" w:cs="Arial"/>
          <w:color w:val="010000"/>
          <w:sz w:val="20"/>
        </w:rPr>
        <w:t>tax in 2023 of a number of unit</w:t>
      </w:r>
      <w:bookmarkStart w:id="0" w:name="_GoBack"/>
      <w:bookmarkEnd w:id="0"/>
      <w:r w:rsidRPr="00075AD1">
        <w:rPr>
          <w:rFonts w:ascii="Arial" w:hAnsi="Arial" w:cs="Arial"/>
          <w:color w:val="010000"/>
          <w:sz w:val="20"/>
        </w:rPr>
        <w:t xml:space="preserve"> decreases compared to the same period in 2022 such as: </w:t>
      </w:r>
      <w:proofErr w:type="spellStart"/>
      <w:r w:rsidRPr="00075AD1">
        <w:rPr>
          <w:rFonts w:ascii="Arial" w:hAnsi="Arial" w:cs="Arial"/>
          <w:color w:val="010000"/>
          <w:sz w:val="20"/>
        </w:rPr>
        <w:t>Licogi</w:t>
      </w:r>
      <w:proofErr w:type="spellEnd"/>
      <w:r w:rsidRPr="00075AD1">
        <w:rPr>
          <w:rFonts w:ascii="Arial" w:hAnsi="Arial" w:cs="Arial"/>
          <w:color w:val="010000"/>
          <w:sz w:val="20"/>
        </w:rPr>
        <w:t xml:space="preserve"> 2, </w:t>
      </w:r>
      <w:proofErr w:type="spellStart"/>
      <w:r w:rsidRPr="00075AD1">
        <w:rPr>
          <w:rFonts w:ascii="Arial" w:hAnsi="Arial" w:cs="Arial"/>
          <w:color w:val="010000"/>
          <w:sz w:val="20"/>
        </w:rPr>
        <w:t>Licogi</w:t>
      </w:r>
      <w:proofErr w:type="spellEnd"/>
      <w:r w:rsidRPr="00075AD1">
        <w:rPr>
          <w:rFonts w:ascii="Arial" w:hAnsi="Arial" w:cs="Arial"/>
          <w:color w:val="010000"/>
          <w:sz w:val="20"/>
        </w:rPr>
        <w:t xml:space="preserve"> 10...Due to the change in profit structure from the Holding Company in 2023 compared to 2022: Income from financial activities in 2023 decreases compared to 2022.</w:t>
      </w:r>
    </w:p>
    <w:p w14:paraId="6AEF21BA" w14:textId="77777777" w:rsidR="0059455B" w:rsidRPr="00075AD1" w:rsidRDefault="00846084" w:rsidP="006877D6">
      <w:pPr>
        <w:numPr>
          <w:ilvl w:val="0"/>
          <w:numId w:val="3"/>
        </w:numPr>
        <w:pBdr>
          <w:top w:val="nil"/>
          <w:left w:val="nil"/>
          <w:bottom w:val="nil"/>
          <w:right w:val="nil"/>
          <w:between w:val="nil"/>
        </w:pBdr>
        <w:tabs>
          <w:tab w:val="left" w:pos="432"/>
          <w:tab w:val="left" w:pos="759"/>
        </w:tabs>
        <w:spacing w:after="120" w:line="360" w:lineRule="auto"/>
        <w:jc w:val="both"/>
        <w:rPr>
          <w:rFonts w:ascii="Arial" w:eastAsia="Arial" w:hAnsi="Arial" w:cs="Arial"/>
          <w:color w:val="010000"/>
          <w:sz w:val="20"/>
          <w:szCs w:val="20"/>
        </w:rPr>
      </w:pPr>
      <w:r w:rsidRPr="00075AD1">
        <w:rPr>
          <w:rFonts w:ascii="Arial" w:hAnsi="Arial" w:cs="Arial"/>
          <w:color w:val="010000"/>
          <w:sz w:val="20"/>
        </w:rPr>
        <w:t xml:space="preserve">Profit from investment activities in joint venture in 2023 decreases compared to the same period in 2022: due to decreased profits from Bac Ha Hydropower Joint Stock Company and </w:t>
      </w:r>
      <w:proofErr w:type="spellStart"/>
      <w:r w:rsidRPr="00075AD1">
        <w:rPr>
          <w:rFonts w:ascii="Arial" w:hAnsi="Arial" w:cs="Arial"/>
          <w:color w:val="010000"/>
          <w:sz w:val="20"/>
        </w:rPr>
        <w:t>Licogi</w:t>
      </w:r>
      <w:proofErr w:type="spellEnd"/>
      <w:r w:rsidRPr="00075AD1">
        <w:rPr>
          <w:rFonts w:ascii="Arial" w:hAnsi="Arial" w:cs="Arial"/>
          <w:color w:val="010000"/>
          <w:sz w:val="20"/>
        </w:rPr>
        <w:t xml:space="preserve"> 14.</w:t>
      </w:r>
    </w:p>
    <w:p w14:paraId="72EDC791" w14:textId="77777777" w:rsidR="0059455B" w:rsidRPr="00075AD1" w:rsidRDefault="00846084" w:rsidP="006877D6">
      <w:pPr>
        <w:numPr>
          <w:ilvl w:val="0"/>
          <w:numId w:val="4"/>
        </w:numPr>
        <w:pBdr>
          <w:top w:val="nil"/>
          <w:left w:val="nil"/>
          <w:bottom w:val="nil"/>
          <w:right w:val="nil"/>
          <w:between w:val="nil"/>
        </w:pBdr>
        <w:tabs>
          <w:tab w:val="left" w:pos="432"/>
          <w:tab w:val="left" w:pos="769"/>
        </w:tabs>
        <w:spacing w:after="120" w:line="360" w:lineRule="auto"/>
        <w:jc w:val="both"/>
        <w:rPr>
          <w:rFonts w:ascii="Arial" w:eastAsia="Arial" w:hAnsi="Arial" w:cs="Arial"/>
          <w:color w:val="010000"/>
          <w:sz w:val="20"/>
          <w:szCs w:val="20"/>
        </w:rPr>
      </w:pPr>
      <w:r w:rsidRPr="00075AD1">
        <w:rPr>
          <w:rFonts w:ascii="Arial" w:hAnsi="Arial" w:cs="Arial"/>
          <w:color w:val="010000"/>
          <w:sz w:val="20"/>
        </w:rPr>
        <w:t>Retroactive adjustment:</w:t>
      </w:r>
    </w:p>
    <w:p w14:paraId="270DF9BE" w14:textId="77777777" w:rsidR="0059455B" w:rsidRPr="00075AD1" w:rsidRDefault="00846084" w:rsidP="006877D6">
      <w:pPr>
        <w:pBdr>
          <w:top w:val="nil"/>
          <w:left w:val="nil"/>
          <w:bottom w:val="nil"/>
          <w:right w:val="nil"/>
          <w:between w:val="nil"/>
        </w:pBdr>
        <w:tabs>
          <w:tab w:val="left" w:pos="432"/>
          <w:tab w:val="left" w:pos="769"/>
        </w:tabs>
        <w:spacing w:after="120" w:line="360" w:lineRule="auto"/>
        <w:jc w:val="both"/>
        <w:rPr>
          <w:rFonts w:ascii="Arial" w:eastAsia="Arial" w:hAnsi="Arial" w:cs="Arial"/>
          <w:color w:val="010000"/>
          <w:sz w:val="20"/>
          <w:szCs w:val="20"/>
        </w:rPr>
      </w:pPr>
      <w:r w:rsidRPr="00075AD1">
        <w:rPr>
          <w:rFonts w:ascii="Arial" w:hAnsi="Arial" w:cs="Arial"/>
          <w:color w:val="010000"/>
          <w:sz w:val="20"/>
        </w:rPr>
        <w:t>Retroactive adjustment for targets on the Balance Sheet</w:t>
      </w:r>
    </w:p>
    <w:p w14:paraId="5E32AF6F"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Unit: VND</w:t>
      </w:r>
    </w:p>
    <w:tbl>
      <w:tblPr>
        <w:tblStyle w:val="a1"/>
        <w:tblW w:w="5000" w:type="pct"/>
        <w:tblLook w:val="0000" w:firstRow="0" w:lastRow="0" w:firstColumn="0" w:lastColumn="0" w:noHBand="0" w:noVBand="0"/>
      </w:tblPr>
      <w:tblGrid>
        <w:gridCol w:w="3419"/>
        <w:gridCol w:w="850"/>
        <w:gridCol w:w="1689"/>
        <w:gridCol w:w="1299"/>
        <w:gridCol w:w="1762"/>
      </w:tblGrid>
      <w:tr w:rsidR="0059455B" w:rsidRPr="00075AD1" w14:paraId="56906A79" w14:textId="77777777" w:rsidTr="00075AD1">
        <w:tc>
          <w:tcPr>
            <w:tcW w:w="1896"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5981251E"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Assets</w:t>
            </w:r>
          </w:p>
        </w:tc>
        <w:tc>
          <w:tcPr>
            <w:tcW w:w="471"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4A79CA09"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Code</w:t>
            </w:r>
          </w:p>
        </w:tc>
        <w:tc>
          <w:tcPr>
            <w:tcW w:w="936"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3D48A8D1"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Amount at the beginning of the year (before adjustment)</w:t>
            </w:r>
          </w:p>
        </w:tc>
        <w:tc>
          <w:tcPr>
            <w:tcW w:w="720"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278122D5"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Retroactive adjustment</w:t>
            </w:r>
          </w:p>
        </w:tc>
        <w:tc>
          <w:tcPr>
            <w:tcW w:w="977" w:type="pct"/>
            <w:tcBorders>
              <w:top w:val="single" w:sz="4" w:space="0" w:color="000000"/>
              <w:left w:val="single" w:sz="4" w:space="0" w:color="000000"/>
              <w:bottom w:val="single" w:sz="4" w:space="0" w:color="auto"/>
              <w:right w:val="single" w:sz="4" w:space="0" w:color="000000"/>
            </w:tcBorders>
            <w:shd w:val="clear" w:color="auto" w:fill="auto"/>
            <w:tcMar>
              <w:top w:w="0" w:type="dxa"/>
              <w:bottom w:w="0" w:type="dxa"/>
            </w:tcMar>
            <w:vAlign w:val="center"/>
          </w:tcPr>
          <w:p w14:paraId="2022151B"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Amount at the beginning of the year (after adjustment)</w:t>
            </w:r>
          </w:p>
        </w:tc>
      </w:tr>
      <w:tr w:rsidR="0059455B" w:rsidRPr="00075AD1" w14:paraId="066724AA" w14:textId="77777777" w:rsidTr="00075AD1">
        <w:tc>
          <w:tcPr>
            <w:tcW w:w="1896"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D51909A"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A. Short-term assets</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D254C52"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100</w:t>
            </w:r>
          </w:p>
        </w:tc>
        <w:tc>
          <w:tcPr>
            <w:tcW w:w="936"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AEDC0AD"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1,958,649,876,827</w:t>
            </w:r>
          </w:p>
        </w:tc>
        <w:tc>
          <w:tcPr>
            <w:tcW w:w="720"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E059359"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(67,981,520)</w:t>
            </w:r>
          </w:p>
        </w:tc>
        <w:tc>
          <w:tcPr>
            <w:tcW w:w="977"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6F2A9C0"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1,958,581,895,307</w:t>
            </w:r>
          </w:p>
        </w:tc>
      </w:tr>
      <w:tr w:rsidR="0059455B" w:rsidRPr="00075AD1" w14:paraId="7CC16D19" w14:textId="77777777" w:rsidTr="00075AD1">
        <w:tc>
          <w:tcPr>
            <w:tcW w:w="1896"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DF62F2D"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I. Other short-term assets</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87CABA3"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150</w:t>
            </w:r>
          </w:p>
        </w:tc>
        <w:tc>
          <w:tcPr>
            <w:tcW w:w="936"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1D16155"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31,722,220,136</w:t>
            </w:r>
          </w:p>
        </w:tc>
        <w:tc>
          <w:tcPr>
            <w:tcW w:w="720"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88FE0E7"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(67,981,520)</w:t>
            </w:r>
          </w:p>
        </w:tc>
        <w:tc>
          <w:tcPr>
            <w:tcW w:w="977"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2B3F4C0"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27,185,906,502</w:t>
            </w:r>
          </w:p>
        </w:tc>
      </w:tr>
      <w:tr w:rsidR="0059455B" w:rsidRPr="00075AD1" w14:paraId="7CFF41FC" w14:textId="77777777" w:rsidTr="00075AD1">
        <w:tc>
          <w:tcPr>
            <w:tcW w:w="1896"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38341F5"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1 Value added tax deducted</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D8620CD"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152</w:t>
            </w:r>
          </w:p>
        </w:tc>
        <w:tc>
          <w:tcPr>
            <w:tcW w:w="936"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DA55FA5"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24,782,119,674</w:t>
            </w:r>
          </w:p>
        </w:tc>
        <w:tc>
          <w:tcPr>
            <w:tcW w:w="720"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C530A7D"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(58,201,215)</w:t>
            </w:r>
          </w:p>
        </w:tc>
        <w:tc>
          <w:tcPr>
            <w:tcW w:w="977"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8C65D8A"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24,723,918,459</w:t>
            </w:r>
          </w:p>
        </w:tc>
      </w:tr>
      <w:tr w:rsidR="0059455B" w:rsidRPr="00075AD1" w14:paraId="34F4D069" w14:textId="77777777" w:rsidTr="00075AD1">
        <w:tc>
          <w:tcPr>
            <w:tcW w:w="1896"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7934BFE"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2 Taxes and other payables to the State Budget</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8D73B66"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153</w:t>
            </w:r>
          </w:p>
        </w:tc>
        <w:tc>
          <w:tcPr>
            <w:tcW w:w="936"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40E6FA8"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2,471,768,348</w:t>
            </w:r>
          </w:p>
        </w:tc>
        <w:tc>
          <w:tcPr>
            <w:tcW w:w="720"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8DE2AF8"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(9,780,305)</w:t>
            </w:r>
          </w:p>
        </w:tc>
        <w:tc>
          <w:tcPr>
            <w:tcW w:w="977"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E2322A4"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2,461,988,043</w:t>
            </w:r>
          </w:p>
        </w:tc>
      </w:tr>
      <w:tr w:rsidR="0059455B" w:rsidRPr="00075AD1" w14:paraId="4A12843B" w14:textId="77777777" w:rsidTr="00075AD1">
        <w:tc>
          <w:tcPr>
            <w:tcW w:w="1896" w:type="pct"/>
            <w:tcBorders>
              <w:top w:val="single" w:sz="4" w:space="0" w:color="auto"/>
              <w:left w:val="single" w:sz="4" w:space="0" w:color="000000"/>
              <w:bottom w:val="single" w:sz="4" w:space="0" w:color="000000"/>
            </w:tcBorders>
            <w:shd w:val="clear" w:color="auto" w:fill="auto"/>
            <w:tcMar>
              <w:top w:w="0" w:type="dxa"/>
              <w:bottom w:w="0" w:type="dxa"/>
            </w:tcMar>
            <w:vAlign w:val="center"/>
          </w:tcPr>
          <w:p w14:paraId="2EEC1606"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Total assets</w:t>
            </w:r>
          </w:p>
        </w:tc>
        <w:tc>
          <w:tcPr>
            <w:tcW w:w="471" w:type="pct"/>
            <w:tcBorders>
              <w:top w:val="single" w:sz="4" w:space="0" w:color="auto"/>
              <w:left w:val="single" w:sz="4" w:space="0" w:color="000000"/>
              <w:bottom w:val="single" w:sz="4" w:space="0" w:color="000000"/>
            </w:tcBorders>
            <w:shd w:val="clear" w:color="auto" w:fill="auto"/>
            <w:tcMar>
              <w:top w:w="0" w:type="dxa"/>
              <w:bottom w:w="0" w:type="dxa"/>
            </w:tcMar>
            <w:vAlign w:val="center"/>
          </w:tcPr>
          <w:p w14:paraId="3215C1C4"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270</w:t>
            </w:r>
          </w:p>
        </w:tc>
        <w:tc>
          <w:tcPr>
            <w:tcW w:w="936" w:type="pct"/>
            <w:tcBorders>
              <w:top w:val="single" w:sz="4" w:space="0" w:color="auto"/>
              <w:left w:val="single" w:sz="4" w:space="0" w:color="000000"/>
              <w:bottom w:val="single" w:sz="4" w:space="0" w:color="000000"/>
            </w:tcBorders>
            <w:shd w:val="clear" w:color="auto" w:fill="auto"/>
            <w:tcMar>
              <w:top w:w="0" w:type="dxa"/>
              <w:bottom w:w="0" w:type="dxa"/>
            </w:tcMar>
            <w:vAlign w:val="center"/>
          </w:tcPr>
          <w:p w14:paraId="07B75107"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4,158,197,091,512</w:t>
            </w:r>
          </w:p>
        </w:tc>
        <w:tc>
          <w:tcPr>
            <w:tcW w:w="720" w:type="pct"/>
            <w:tcBorders>
              <w:top w:val="single" w:sz="4" w:space="0" w:color="auto"/>
              <w:left w:val="single" w:sz="4" w:space="0" w:color="000000"/>
              <w:bottom w:val="single" w:sz="4" w:space="0" w:color="000000"/>
            </w:tcBorders>
            <w:shd w:val="clear" w:color="auto" w:fill="auto"/>
            <w:tcMar>
              <w:top w:w="0" w:type="dxa"/>
              <w:bottom w:w="0" w:type="dxa"/>
            </w:tcMar>
            <w:vAlign w:val="center"/>
          </w:tcPr>
          <w:p w14:paraId="1EAC1E56"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(67,981,520)</w:t>
            </w:r>
          </w:p>
        </w:tc>
        <w:tc>
          <w:tcPr>
            <w:tcW w:w="977" w:type="pct"/>
            <w:tcBorders>
              <w:top w:val="single" w:sz="4" w:space="0" w:color="auto"/>
              <w:left w:val="single" w:sz="4" w:space="0" w:color="000000"/>
              <w:bottom w:val="single" w:sz="4" w:space="0" w:color="000000"/>
              <w:right w:val="single" w:sz="4" w:space="0" w:color="000000"/>
            </w:tcBorders>
            <w:shd w:val="clear" w:color="auto" w:fill="auto"/>
            <w:tcMar>
              <w:top w:w="0" w:type="dxa"/>
              <w:bottom w:w="0" w:type="dxa"/>
            </w:tcMar>
            <w:vAlign w:val="center"/>
          </w:tcPr>
          <w:p w14:paraId="4C1483D6"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4,158,129,109,992</w:t>
            </w:r>
          </w:p>
        </w:tc>
      </w:tr>
    </w:tbl>
    <w:p w14:paraId="5F80EB91" w14:textId="77777777" w:rsidR="00075AD1" w:rsidRPr="00075AD1" w:rsidRDefault="00075AD1" w:rsidP="006877D6">
      <w:pPr>
        <w:tabs>
          <w:tab w:val="left" w:pos="3396"/>
          <w:tab w:val="left" w:pos="4191"/>
          <w:tab w:val="left" w:pos="5880"/>
          <w:tab w:val="left" w:pos="7313"/>
        </w:tabs>
        <w:spacing w:after="120" w:line="360" w:lineRule="auto"/>
        <w:ind w:left="15"/>
        <w:jc w:val="both"/>
        <w:rPr>
          <w:rFonts w:ascii="Arial" w:eastAsia="Arial" w:hAnsi="Arial" w:cs="Arial"/>
          <w:color w:val="010000"/>
          <w:sz w:val="20"/>
          <w:szCs w:val="20"/>
        </w:rPr>
      </w:pPr>
    </w:p>
    <w:tbl>
      <w:tblPr>
        <w:tblStyle w:val="a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1"/>
        <w:gridCol w:w="795"/>
        <w:gridCol w:w="1689"/>
        <w:gridCol w:w="1433"/>
        <w:gridCol w:w="1721"/>
      </w:tblGrid>
      <w:tr w:rsidR="0059455B" w:rsidRPr="00075AD1" w14:paraId="45325B58" w14:textId="77777777" w:rsidTr="00075AD1">
        <w:tc>
          <w:tcPr>
            <w:tcW w:w="1874" w:type="pct"/>
            <w:shd w:val="clear" w:color="auto" w:fill="auto"/>
            <w:tcMar>
              <w:top w:w="0" w:type="dxa"/>
              <w:bottom w:w="0" w:type="dxa"/>
            </w:tcMar>
            <w:vAlign w:val="center"/>
          </w:tcPr>
          <w:p w14:paraId="78FD2E74"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Capital source</w:t>
            </w:r>
          </w:p>
        </w:tc>
        <w:tc>
          <w:tcPr>
            <w:tcW w:w="441" w:type="pct"/>
            <w:shd w:val="clear" w:color="auto" w:fill="auto"/>
            <w:tcMar>
              <w:top w:w="0" w:type="dxa"/>
              <w:bottom w:w="0" w:type="dxa"/>
            </w:tcMar>
            <w:vAlign w:val="center"/>
          </w:tcPr>
          <w:p w14:paraId="23EC14F9" w14:textId="77777777" w:rsidR="0059455B" w:rsidRPr="00075AD1" w:rsidRDefault="0059455B" w:rsidP="006877D6">
            <w:pPr>
              <w:tabs>
                <w:tab w:val="left" w:pos="432"/>
              </w:tabs>
              <w:spacing w:after="120" w:line="360" w:lineRule="auto"/>
              <w:jc w:val="both"/>
              <w:rPr>
                <w:rFonts w:ascii="Arial" w:eastAsia="Arial" w:hAnsi="Arial" w:cs="Arial"/>
                <w:color w:val="010000"/>
                <w:sz w:val="20"/>
                <w:szCs w:val="20"/>
              </w:rPr>
            </w:pPr>
          </w:p>
        </w:tc>
        <w:tc>
          <w:tcPr>
            <w:tcW w:w="936" w:type="pct"/>
            <w:shd w:val="clear" w:color="auto" w:fill="auto"/>
            <w:tcMar>
              <w:top w:w="0" w:type="dxa"/>
              <w:bottom w:w="0" w:type="dxa"/>
            </w:tcMar>
            <w:vAlign w:val="center"/>
          </w:tcPr>
          <w:p w14:paraId="32ED5F9C" w14:textId="77777777" w:rsidR="0059455B" w:rsidRPr="00075AD1" w:rsidRDefault="0059455B" w:rsidP="006877D6">
            <w:pPr>
              <w:tabs>
                <w:tab w:val="left" w:pos="432"/>
              </w:tabs>
              <w:spacing w:after="120" w:line="360" w:lineRule="auto"/>
              <w:jc w:val="both"/>
              <w:rPr>
                <w:rFonts w:ascii="Arial" w:eastAsia="Arial" w:hAnsi="Arial" w:cs="Arial"/>
                <w:color w:val="010000"/>
                <w:sz w:val="20"/>
                <w:szCs w:val="20"/>
              </w:rPr>
            </w:pPr>
          </w:p>
        </w:tc>
        <w:tc>
          <w:tcPr>
            <w:tcW w:w="794" w:type="pct"/>
            <w:shd w:val="clear" w:color="auto" w:fill="auto"/>
            <w:tcMar>
              <w:top w:w="0" w:type="dxa"/>
              <w:bottom w:w="0" w:type="dxa"/>
            </w:tcMar>
            <w:vAlign w:val="center"/>
          </w:tcPr>
          <w:p w14:paraId="5779C4A1" w14:textId="77777777" w:rsidR="0059455B" w:rsidRPr="00075AD1" w:rsidRDefault="0059455B" w:rsidP="006877D6">
            <w:pPr>
              <w:tabs>
                <w:tab w:val="left" w:pos="432"/>
              </w:tabs>
              <w:spacing w:after="120" w:line="360" w:lineRule="auto"/>
              <w:jc w:val="both"/>
              <w:rPr>
                <w:rFonts w:ascii="Arial" w:eastAsia="Arial" w:hAnsi="Arial" w:cs="Arial"/>
                <w:color w:val="010000"/>
                <w:sz w:val="20"/>
                <w:szCs w:val="20"/>
              </w:rPr>
            </w:pPr>
          </w:p>
        </w:tc>
        <w:tc>
          <w:tcPr>
            <w:tcW w:w="954" w:type="pct"/>
            <w:shd w:val="clear" w:color="auto" w:fill="auto"/>
            <w:tcMar>
              <w:top w:w="0" w:type="dxa"/>
              <w:bottom w:w="0" w:type="dxa"/>
            </w:tcMar>
            <w:vAlign w:val="center"/>
          </w:tcPr>
          <w:p w14:paraId="75792FF9" w14:textId="77777777" w:rsidR="0059455B" w:rsidRPr="00075AD1" w:rsidRDefault="0059455B" w:rsidP="006877D6">
            <w:pPr>
              <w:tabs>
                <w:tab w:val="left" w:pos="432"/>
              </w:tabs>
              <w:spacing w:after="120" w:line="360" w:lineRule="auto"/>
              <w:jc w:val="both"/>
              <w:rPr>
                <w:rFonts w:ascii="Arial" w:eastAsia="Arial" w:hAnsi="Arial" w:cs="Arial"/>
                <w:color w:val="010000"/>
                <w:sz w:val="20"/>
                <w:szCs w:val="20"/>
              </w:rPr>
            </w:pPr>
          </w:p>
        </w:tc>
      </w:tr>
      <w:tr w:rsidR="0059455B" w:rsidRPr="00075AD1" w14:paraId="7385C29A" w14:textId="77777777" w:rsidTr="00075AD1">
        <w:tc>
          <w:tcPr>
            <w:tcW w:w="1874" w:type="pct"/>
            <w:shd w:val="clear" w:color="auto" w:fill="auto"/>
            <w:tcMar>
              <w:top w:w="0" w:type="dxa"/>
              <w:bottom w:w="0" w:type="dxa"/>
            </w:tcMar>
            <w:vAlign w:val="center"/>
          </w:tcPr>
          <w:p w14:paraId="37E70A6C"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B. Payables</w:t>
            </w:r>
          </w:p>
        </w:tc>
        <w:tc>
          <w:tcPr>
            <w:tcW w:w="441" w:type="pct"/>
            <w:shd w:val="clear" w:color="auto" w:fill="auto"/>
            <w:tcMar>
              <w:top w:w="0" w:type="dxa"/>
              <w:bottom w:w="0" w:type="dxa"/>
            </w:tcMar>
            <w:vAlign w:val="center"/>
          </w:tcPr>
          <w:p w14:paraId="3587A7B4"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300</w:t>
            </w:r>
          </w:p>
        </w:tc>
        <w:tc>
          <w:tcPr>
            <w:tcW w:w="936" w:type="pct"/>
            <w:shd w:val="clear" w:color="auto" w:fill="auto"/>
            <w:tcMar>
              <w:top w:w="0" w:type="dxa"/>
              <w:bottom w:w="0" w:type="dxa"/>
            </w:tcMar>
            <w:vAlign w:val="center"/>
          </w:tcPr>
          <w:p w14:paraId="30396F65"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3,713,062,940,257</w:t>
            </w:r>
          </w:p>
        </w:tc>
        <w:tc>
          <w:tcPr>
            <w:tcW w:w="794" w:type="pct"/>
            <w:shd w:val="clear" w:color="auto" w:fill="auto"/>
            <w:tcMar>
              <w:top w:w="0" w:type="dxa"/>
              <w:bottom w:w="0" w:type="dxa"/>
            </w:tcMar>
            <w:vAlign w:val="center"/>
          </w:tcPr>
          <w:p w14:paraId="267348B7"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8,088,128,064</w:t>
            </w:r>
          </w:p>
        </w:tc>
        <w:tc>
          <w:tcPr>
            <w:tcW w:w="954" w:type="pct"/>
            <w:shd w:val="clear" w:color="auto" w:fill="auto"/>
            <w:tcMar>
              <w:top w:w="0" w:type="dxa"/>
              <w:bottom w:w="0" w:type="dxa"/>
            </w:tcMar>
            <w:vAlign w:val="center"/>
          </w:tcPr>
          <w:p w14:paraId="2FB951D9"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3,721,151,068,321</w:t>
            </w:r>
          </w:p>
        </w:tc>
      </w:tr>
      <w:tr w:rsidR="0059455B" w:rsidRPr="00075AD1" w14:paraId="6A4F592A" w14:textId="77777777" w:rsidTr="00075AD1">
        <w:tc>
          <w:tcPr>
            <w:tcW w:w="1874" w:type="pct"/>
            <w:shd w:val="clear" w:color="auto" w:fill="auto"/>
            <w:tcMar>
              <w:top w:w="0" w:type="dxa"/>
              <w:bottom w:w="0" w:type="dxa"/>
            </w:tcMar>
            <w:vAlign w:val="center"/>
          </w:tcPr>
          <w:p w14:paraId="6D8786CD"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I. Short-term payables</w:t>
            </w:r>
          </w:p>
        </w:tc>
        <w:tc>
          <w:tcPr>
            <w:tcW w:w="441" w:type="pct"/>
            <w:shd w:val="clear" w:color="auto" w:fill="auto"/>
            <w:tcMar>
              <w:top w:w="0" w:type="dxa"/>
              <w:bottom w:w="0" w:type="dxa"/>
            </w:tcMar>
            <w:vAlign w:val="center"/>
          </w:tcPr>
          <w:p w14:paraId="034B663B"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310</w:t>
            </w:r>
          </w:p>
        </w:tc>
        <w:tc>
          <w:tcPr>
            <w:tcW w:w="936" w:type="pct"/>
            <w:shd w:val="clear" w:color="auto" w:fill="auto"/>
            <w:tcMar>
              <w:top w:w="0" w:type="dxa"/>
              <w:bottom w:w="0" w:type="dxa"/>
            </w:tcMar>
            <w:vAlign w:val="center"/>
          </w:tcPr>
          <w:p w14:paraId="7E9D8D5E"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3,241,627,302,554</w:t>
            </w:r>
          </w:p>
        </w:tc>
        <w:tc>
          <w:tcPr>
            <w:tcW w:w="794" w:type="pct"/>
            <w:shd w:val="clear" w:color="auto" w:fill="auto"/>
            <w:tcMar>
              <w:top w:w="0" w:type="dxa"/>
              <w:bottom w:w="0" w:type="dxa"/>
            </w:tcMar>
            <w:vAlign w:val="center"/>
          </w:tcPr>
          <w:p w14:paraId="7D45483B"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8,088,128,064</w:t>
            </w:r>
          </w:p>
        </w:tc>
        <w:tc>
          <w:tcPr>
            <w:tcW w:w="954" w:type="pct"/>
            <w:shd w:val="clear" w:color="auto" w:fill="auto"/>
            <w:tcMar>
              <w:top w:w="0" w:type="dxa"/>
              <w:bottom w:w="0" w:type="dxa"/>
            </w:tcMar>
            <w:vAlign w:val="center"/>
          </w:tcPr>
          <w:p w14:paraId="65F104BB"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3,249,715,430,618</w:t>
            </w:r>
          </w:p>
        </w:tc>
      </w:tr>
      <w:tr w:rsidR="0059455B" w:rsidRPr="00075AD1" w14:paraId="556C6AF9" w14:textId="77777777" w:rsidTr="00075AD1">
        <w:tc>
          <w:tcPr>
            <w:tcW w:w="1874" w:type="pct"/>
            <w:shd w:val="clear" w:color="auto" w:fill="auto"/>
            <w:tcMar>
              <w:top w:w="0" w:type="dxa"/>
              <w:bottom w:w="0" w:type="dxa"/>
            </w:tcMar>
            <w:vAlign w:val="center"/>
          </w:tcPr>
          <w:p w14:paraId="011C9B4B"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1 Short-term payables to sellers</w:t>
            </w:r>
          </w:p>
        </w:tc>
        <w:tc>
          <w:tcPr>
            <w:tcW w:w="441" w:type="pct"/>
            <w:shd w:val="clear" w:color="auto" w:fill="auto"/>
            <w:tcMar>
              <w:top w:w="0" w:type="dxa"/>
              <w:bottom w:w="0" w:type="dxa"/>
            </w:tcMar>
            <w:vAlign w:val="center"/>
          </w:tcPr>
          <w:p w14:paraId="417E4976"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311</w:t>
            </w:r>
          </w:p>
        </w:tc>
        <w:tc>
          <w:tcPr>
            <w:tcW w:w="936" w:type="pct"/>
            <w:shd w:val="clear" w:color="auto" w:fill="auto"/>
            <w:tcMar>
              <w:top w:w="0" w:type="dxa"/>
              <w:bottom w:w="0" w:type="dxa"/>
            </w:tcMar>
            <w:vAlign w:val="center"/>
          </w:tcPr>
          <w:p w14:paraId="24D51D12" w14:textId="683EA7D6"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613</w:t>
            </w:r>
            <w:r w:rsidR="00075AD1" w:rsidRPr="00075AD1">
              <w:rPr>
                <w:rFonts w:ascii="Arial" w:hAnsi="Arial" w:cs="Arial"/>
                <w:color w:val="010000"/>
                <w:sz w:val="20"/>
              </w:rPr>
              <w:t>,</w:t>
            </w:r>
            <w:r w:rsidRPr="00075AD1">
              <w:rPr>
                <w:rFonts w:ascii="Arial" w:hAnsi="Arial" w:cs="Arial"/>
                <w:color w:val="010000"/>
                <w:sz w:val="20"/>
              </w:rPr>
              <w:t>347</w:t>
            </w:r>
            <w:r w:rsidR="00075AD1" w:rsidRPr="00075AD1">
              <w:rPr>
                <w:rFonts w:ascii="Arial" w:hAnsi="Arial" w:cs="Arial"/>
                <w:color w:val="010000"/>
                <w:sz w:val="20"/>
              </w:rPr>
              <w:t>,</w:t>
            </w:r>
            <w:r w:rsidRPr="00075AD1">
              <w:rPr>
                <w:rFonts w:ascii="Arial" w:hAnsi="Arial" w:cs="Arial"/>
                <w:color w:val="010000"/>
                <w:sz w:val="20"/>
              </w:rPr>
              <w:t>098</w:t>
            </w:r>
            <w:r w:rsidR="00075AD1" w:rsidRPr="00075AD1">
              <w:rPr>
                <w:rFonts w:ascii="Arial" w:hAnsi="Arial" w:cs="Arial"/>
                <w:color w:val="010000"/>
                <w:sz w:val="20"/>
              </w:rPr>
              <w:t>,</w:t>
            </w:r>
            <w:r w:rsidRPr="00075AD1">
              <w:rPr>
                <w:rFonts w:ascii="Arial" w:hAnsi="Arial" w:cs="Arial"/>
                <w:color w:val="010000"/>
                <w:sz w:val="20"/>
              </w:rPr>
              <w:t>759</w:t>
            </w:r>
          </w:p>
        </w:tc>
        <w:tc>
          <w:tcPr>
            <w:tcW w:w="794" w:type="pct"/>
            <w:shd w:val="clear" w:color="auto" w:fill="auto"/>
            <w:tcMar>
              <w:top w:w="0" w:type="dxa"/>
              <w:bottom w:w="0" w:type="dxa"/>
            </w:tcMar>
            <w:vAlign w:val="center"/>
          </w:tcPr>
          <w:p w14:paraId="1EC8FB61"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(43,192,000)</w:t>
            </w:r>
          </w:p>
        </w:tc>
        <w:tc>
          <w:tcPr>
            <w:tcW w:w="954" w:type="pct"/>
            <w:shd w:val="clear" w:color="auto" w:fill="auto"/>
            <w:tcMar>
              <w:top w:w="0" w:type="dxa"/>
              <w:bottom w:w="0" w:type="dxa"/>
            </w:tcMar>
            <w:vAlign w:val="center"/>
          </w:tcPr>
          <w:p w14:paraId="1F6088CA" w14:textId="59D83808"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613,303</w:t>
            </w:r>
            <w:r w:rsidR="00075AD1" w:rsidRPr="00075AD1">
              <w:rPr>
                <w:rFonts w:ascii="Arial" w:hAnsi="Arial" w:cs="Arial"/>
                <w:color w:val="010000"/>
                <w:sz w:val="20"/>
              </w:rPr>
              <w:t>,</w:t>
            </w:r>
            <w:r w:rsidRPr="00075AD1">
              <w:rPr>
                <w:rFonts w:ascii="Arial" w:hAnsi="Arial" w:cs="Arial"/>
                <w:color w:val="010000"/>
                <w:sz w:val="20"/>
              </w:rPr>
              <w:t>906,759</w:t>
            </w:r>
          </w:p>
        </w:tc>
      </w:tr>
      <w:tr w:rsidR="0059455B" w:rsidRPr="00075AD1" w14:paraId="1C589296" w14:textId="77777777" w:rsidTr="00075AD1">
        <w:tc>
          <w:tcPr>
            <w:tcW w:w="1874" w:type="pct"/>
            <w:shd w:val="clear" w:color="auto" w:fill="auto"/>
            <w:tcMar>
              <w:top w:w="0" w:type="dxa"/>
              <w:bottom w:w="0" w:type="dxa"/>
            </w:tcMar>
            <w:vAlign w:val="center"/>
          </w:tcPr>
          <w:p w14:paraId="3B50B823"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2 Taxes and other payables to the State Budget</w:t>
            </w:r>
          </w:p>
        </w:tc>
        <w:tc>
          <w:tcPr>
            <w:tcW w:w="441" w:type="pct"/>
            <w:shd w:val="clear" w:color="auto" w:fill="auto"/>
            <w:tcMar>
              <w:top w:w="0" w:type="dxa"/>
              <w:bottom w:w="0" w:type="dxa"/>
            </w:tcMar>
            <w:vAlign w:val="center"/>
          </w:tcPr>
          <w:p w14:paraId="22B4DCDA"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313</w:t>
            </w:r>
          </w:p>
        </w:tc>
        <w:tc>
          <w:tcPr>
            <w:tcW w:w="936" w:type="pct"/>
            <w:shd w:val="clear" w:color="auto" w:fill="auto"/>
            <w:tcMar>
              <w:top w:w="0" w:type="dxa"/>
              <w:bottom w:w="0" w:type="dxa"/>
            </w:tcMar>
            <w:vAlign w:val="center"/>
          </w:tcPr>
          <w:p w14:paraId="0F894B46"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174,366,864,211</w:t>
            </w:r>
          </w:p>
        </w:tc>
        <w:tc>
          <w:tcPr>
            <w:tcW w:w="794" w:type="pct"/>
            <w:shd w:val="clear" w:color="auto" w:fill="auto"/>
            <w:tcMar>
              <w:top w:w="0" w:type="dxa"/>
              <w:bottom w:w="0" w:type="dxa"/>
            </w:tcMar>
            <w:vAlign w:val="center"/>
          </w:tcPr>
          <w:p w14:paraId="21197920"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8,131,320,064</w:t>
            </w:r>
          </w:p>
        </w:tc>
        <w:tc>
          <w:tcPr>
            <w:tcW w:w="954" w:type="pct"/>
            <w:shd w:val="clear" w:color="auto" w:fill="auto"/>
            <w:tcMar>
              <w:top w:w="0" w:type="dxa"/>
              <w:bottom w:w="0" w:type="dxa"/>
            </w:tcMar>
            <w:vAlign w:val="center"/>
          </w:tcPr>
          <w:p w14:paraId="6948790B"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182,498,184,275</w:t>
            </w:r>
          </w:p>
        </w:tc>
      </w:tr>
      <w:tr w:rsidR="0059455B" w:rsidRPr="00075AD1" w14:paraId="69C04E76" w14:textId="77777777" w:rsidTr="00075AD1">
        <w:tc>
          <w:tcPr>
            <w:tcW w:w="1874" w:type="pct"/>
            <w:shd w:val="clear" w:color="auto" w:fill="auto"/>
            <w:tcMar>
              <w:top w:w="0" w:type="dxa"/>
              <w:bottom w:w="0" w:type="dxa"/>
            </w:tcMar>
            <w:vAlign w:val="center"/>
          </w:tcPr>
          <w:p w14:paraId="0CFC3413"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C. Owners’ equity</w:t>
            </w:r>
          </w:p>
        </w:tc>
        <w:tc>
          <w:tcPr>
            <w:tcW w:w="441" w:type="pct"/>
            <w:shd w:val="clear" w:color="auto" w:fill="auto"/>
            <w:tcMar>
              <w:top w:w="0" w:type="dxa"/>
              <w:bottom w:w="0" w:type="dxa"/>
            </w:tcMar>
            <w:vAlign w:val="center"/>
          </w:tcPr>
          <w:p w14:paraId="42667D7E"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400</w:t>
            </w:r>
          </w:p>
        </w:tc>
        <w:tc>
          <w:tcPr>
            <w:tcW w:w="936" w:type="pct"/>
            <w:shd w:val="clear" w:color="auto" w:fill="auto"/>
            <w:tcMar>
              <w:top w:w="0" w:type="dxa"/>
              <w:bottom w:w="0" w:type="dxa"/>
            </w:tcMar>
            <w:vAlign w:val="center"/>
          </w:tcPr>
          <w:p w14:paraId="70E91447"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445,134,151,255</w:t>
            </w:r>
          </w:p>
        </w:tc>
        <w:tc>
          <w:tcPr>
            <w:tcW w:w="794" w:type="pct"/>
            <w:shd w:val="clear" w:color="auto" w:fill="auto"/>
            <w:tcMar>
              <w:top w:w="0" w:type="dxa"/>
              <w:bottom w:w="0" w:type="dxa"/>
            </w:tcMar>
            <w:vAlign w:val="center"/>
          </w:tcPr>
          <w:p w14:paraId="38BBC8E7"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(8,156,109,584)</w:t>
            </w:r>
          </w:p>
        </w:tc>
        <w:tc>
          <w:tcPr>
            <w:tcW w:w="954" w:type="pct"/>
            <w:shd w:val="clear" w:color="auto" w:fill="auto"/>
            <w:tcMar>
              <w:top w:w="0" w:type="dxa"/>
              <w:bottom w:w="0" w:type="dxa"/>
            </w:tcMar>
            <w:vAlign w:val="center"/>
          </w:tcPr>
          <w:p w14:paraId="171708FB"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436,978,041,671</w:t>
            </w:r>
          </w:p>
        </w:tc>
      </w:tr>
      <w:tr w:rsidR="0059455B" w:rsidRPr="00075AD1" w14:paraId="320B0D70" w14:textId="77777777" w:rsidTr="00075AD1">
        <w:tc>
          <w:tcPr>
            <w:tcW w:w="1874" w:type="pct"/>
            <w:shd w:val="clear" w:color="auto" w:fill="auto"/>
            <w:tcMar>
              <w:top w:w="0" w:type="dxa"/>
              <w:bottom w:w="0" w:type="dxa"/>
            </w:tcMar>
            <w:vAlign w:val="center"/>
          </w:tcPr>
          <w:p w14:paraId="118EF770"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I. Owners’ equity</w:t>
            </w:r>
          </w:p>
        </w:tc>
        <w:tc>
          <w:tcPr>
            <w:tcW w:w="441" w:type="pct"/>
            <w:shd w:val="clear" w:color="auto" w:fill="auto"/>
            <w:tcMar>
              <w:top w:w="0" w:type="dxa"/>
              <w:bottom w:w="0" w:type="dxa"/>
            </w:tcMar>
            <w:vAlign w:val="center"/>
          </w:tcPr>
          <w:p w14:paraId="34B72CC0"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410</w:t>
            </w:r>
          </w:p>
        </w:tc>
        <w:tc>
          <w:tcPr>
            <w:tcW w:w="936" w:type="pct"/>
            <w:shd w:val="clear" w:color="auto" w:fill="auto"/>
            <w:tcMar>
              <w:top w:w="0" w:type="dxa"/>
              <w:bottom w:w="0" w:type="dxa"/>
            </w:tcMar>
            <w:vAlign w:val="center"/>
          </w:tcPr>
          <w:p w14:paraId="723C89E7"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445,134,151,255</w:t>
            </w:r>
          </w:p>
        </w:tc>
        <w:tc>
          <w:tcPr>
            <w:tcW w:w="794" w:type="pct"/>
            <w:shd w:val="clear" w:color="auto" w:fill="auto"/>
            <w:tcMar>
              <w:top w:w="0" w:type="dxa"/>
              <w:bottom w:w="0" w:type="dxa"/>
            </w:tcMar>
            <w:vAlign w:val="center"/>
          </w:tcPr>
          <w:p w14:paraId="1783600D"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(8,156,109,584)</w:t>
            </w:r>
          </w:p>
        </w:tc>
        <w:tc>
          <w:tcPr>
            <w:tcW w:w="954" w:type="pct"/>
            <w:shd w:val="clear" w:color="auto" w:fill="auto"/>
            <w:tcMar>
              <w:top w:w="0" w:type="dxa"/>
              <w:bottom w:w="0" w:type="dxa"/>
            </w:tcMar>
            <w:vAlign w:val="center"/>
          </w:tcPr>
          <w:p w14:paraId="26089363"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436,978,041,671</w:t>
            </w:r>
          </w:p>
        </w:tc>
      </w:tr>
      <w:tr w:rsidR="0059455B" w:rsidRPr="00075AD1" w14:paraId="7CC64759" w14:textId="77777777" w:rsidTr="00075AD1">
        <w:tc>
          <w:tcPr>
            <w:tcW w:w="1874" w:type="pct"/>
            <w:shd w:val="clear" w:color="auto" w:fill="auto"/>
            <w:tcMar>
              <w:top w:w="0" w:type="dxa"/>
              <w:bottom w:w="0" w:type="dxa"/>
            </w:tcMar>
            <w:vAlign w:val="center"/>
          </w:tcPr>
          <w:p w14:paraId="6D0F5EAC"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Undistributed profit after tax</w:t>
            </w:r>
          </w:p>
        </w:tc>
        <w:tc>
          <w:tcPr>
            <w:tcW w:w="441" w:type="pct"/>
            <w:shd w:val="clear" w:color="auto" w:fill="auto"/>
            <w:tcMar>
              <w:top w:w="0" w:type="dxa"/>
              <w:bottom w:w="0" w:type="dxa"/>
            </w:tcMar>
            <w:vAlign w:val="center"/>
          </w:tcPr>
          <w:p w14:paraId="01AFD64A"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421</w:t>
            </w:r>
          </w:p>
        </w:tc>
        <w:tc>
          <w:tcPr>
            <w:tcW w:w="936" w:type="pct"/>
            <w:shd w:val="clear" w:color="auto" w:fill="auto"/>
            <w:tcMar>
              <w:top w:w="0" w:type="dxa"/>
              <w:bottom w:w="0" w:type="dxa"/>
            </w:tcMar>
            <w:vAlign w:val="center"/>
          </w:tcPr>
          <w:p w14:paraId="51BC7447"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(562,286,439,243)</w:t>
            </w:r>
          </w:p>
        </w:tc>
        <w:tc>
          <w:tcPr>
            <w:tcW w:w="794" w:type="pct"/>
            <w:shd w:val="clear" w:color="auto" w:fill="auto"/>
            <w:tcMar>
              <w:top w:w="0" w:type="dxa"/>
              <w:bottom w:w="0" w:type="dxa"/>
            </w:tcMar>
            <w:vAlign w:val="center"/>
          </w:tcPr>
          <w:p w14:paraId="45C5A5C1"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(8,156,109,584)</w:t>
            </w:r>
          </w:p>
        </w:tc>
        <w:tc>
          <w:tcPr>
            <w:tcW w:w="954" w:type="pct"/>
            <w:shd w:val="clear" w:color="auto" w:fill="auto"/>
            <w:tcMar>
              <w:top w:w="0" w:type="dxa"/>
              <w:bottom w:w="0" w:type="dxa"/>
            </w:tcMar>
            <w:vAlign w:val="center"/>
          </w:tcPr>
          <w:p w14:paraId="4A74C56A"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(570,442,548,827)</w:t>
            </w:r>
          </w:p>
        </w:tc>
      </w:tr>
      <w:tr w:rsidR="0059455B" w:rsidRPr="00075AD1" w14:paraId="2C0B8852" w14:textId="77777777" w:rsidTr="00075AD1">
        <w:tc>
          <w:tcPr>
            <w:tcW w:w="1874" w:type="pct"/>
            <w:shd w:val="clear" w:color="auto" w:fill="auto"/>
            <w:tcMar>
              <w:top w:w="0" w:type="dxa"/>
              <w:bottom w:w="0" w:type="dxa"/>
            </w:tcMar>
            <w:vAlign w:val="center"/>
          </w:tcPr>
          <w:p w14:paraId="5DAC2B59"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lastRenderedPageBreak/>
              <w:t>Undistributed profit after tax accumulated until the end of the previous period</w:t>
            </w:r>
          </w:p>
        </w:tc>
        <w:tc>
          <w:tcPr>
            <w:tcW w:w="441" w:type="pct"/>
            <w:shd w:val="clear" w:color="auto" w:fill="auto"/>
            <w:tcMar>
              <w:top w:w="0" w:type="dxa"/>
              <w:bottom w:w="0" w:type="dxa"/>
            </w:tcMar>
            <w:vAlign w:val="center"/>
          </w:tcPr>
          <w:p w14:paraId="3107E5A7"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421a</w:t>
            </w:r>
          </w:p>
        </w:tc>
        <w:tc>
          <w:tcPr>
            <w:tcW w:w="936" w:type="pct"/>
            <w:shd w:val="clear" w:color="auto" w:fill="auto"/>
            <w:tcMar>
              <w:top w:w="0" w:type="dxa"/>
              <w:bottom w:w="0" w:type="dxa"/>
            </w:tcMar>
            <w:vAlign w:val="center"/>
          </w:tcPr>
          <w:p w14:paraId="1701F5DC"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(596,762,430,704)</w:t>
            </w:r>
          </w:p>
        </w:tc>
        <w:tc>
          <w:tcPr>
            <w:tcW w:w="794" w:type="pct"/>
            <w:shd w:val="clear" w:color="auto" w:fill="auto"/>
            <w:tcMar>
              <w:top w:w="0" w:type="dxa"/>
              <w:bottom w:w="0" w:type="dxa"/>
            </w:tcMar>
            <w:vAlign w:val="center"/>
          </w:tcPr>
          <w:p w14:paraId="4141C99F"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(7,774,172,039)</w:t>
            </w:r>
          </w:p>
        </w:tc>
        <w:tc>
          <w:tcPr>
            <w:tcW w:w="954" w:type="pct"/>
            <w:shd w:val="clear" w:color="auto" w:fill="auto"/>
            <w:tcMar>
              <w:top w:w="0" w:type="dxa"/>
              <w:bottom w:w="0" w:type="dxa"/>
            </w:tcMar>
            <w:vAlign w:val="center"/>
          </w:tcPr>
          <w:p w14:paraId="13E0A44B"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(604,536,602,743)</w:t>
            </w:r>
          </w:p>
        </w:tc>
      </w:tr>
      <w:tr w:rsidR="0059455B" w:rsidRPr="00075AD1" w14:paraId="48CA55BA" w14:textId="77777777" w:rsidTr="00075AD1">
        <w:tc>
          <w:tcPr>
            <w:tcW w:w="1874" w:type="pct"/>
            <w:shd w:val="clear" w:color="auto" w:fill="auto"/>
            <w:tcMar>
              <w:top w:w="0" w:type="dxa"/>
              <w:bottom w:w="0" w:type="dxa"/>
            </w:tcMar>
            <w:vAlign w:val="center"/>
          </w:tcPr>
          <w:p w14:paraId="517978AC"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Undistributed profit after tax in this year</w:t>
            </w:r>
          </w:p>
        </w:tc>
        <w:tc>
          <w:tcPr>
            <w:tcW w:w="441" w:type="pct"/>
            <w:shd w:val="clear" w:color="auto" w:fill="auto"/>
            <w:tcMar>
              <w:top w:w="0" w:type="dxa"/>
              <w:bottom w:w="0" w:type="dxa"/>
            </w:tcMar>
            <w:vAlign w:val="center"/>
          </w:tcPr>
          <w:p w14:paraId="3C1731E1"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421b</w:t>
            </w:r>
          </w:p>
        </w:tc>
        <w:tc>
          <w:tcPr>
            <w:tcW w:w="936" w:type="pct"/>
            <w:shd w:val="clear" w:color="auto" w:fill="auto"/>
            <w:tcMar>
              <w:top w:w="0" w:type="dxa"/>
              <w:bottom w:w="0" w:type="dxa"/>
            </w:tcMar>
            <w:vAlign w:val="center"/>
          </w:tcPr>
          <w:p w14:paraId="60E164F2"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34,475,991,461</w:t>
            </w:r>
          </w:p>
        </w:tc>
        <w:tc>
          <w:tcPr>
            <w:tcW w:w="794" w:type="pct"/>
            <w:shd w:val="clear" w:color="auto" w:fill="auto"/>
            <w:tcMar>
              <w:top w:w="0" w:type="dxa"/>
              <w:bottom w:w="0" w:type="dxa"/>
            </w:tcMar>
            <w:vAlign w:val="center"/>
          </w:tcPr>
          <w:p w14:paraId="41EA7A72"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(381,937,545)</w:t>
            </w:r>
          </w:p>
        </w:tc>
        <w:tc>
          <w:tcPr>
            <w:tcW w:w="954" w:type="pct"/>
            <w:shd w:val="clear" w:color="auto" w:fill="auto"/>
            <w:tcMar>
              <w:top w:w="0" w:type="dxa"/>
              <w:bottom w:w="0" w:type="dxa"/>
            </w:tcMar>
            <w:vAlign w:val="center"/>
          </w:tcPr>
          <w:p w14:paraId="5B683BC8"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34,094,053,916</w:t>
            </w:r>
          </w:p>
        </w:tc>
      </w:tr>
      <w:tr w:rsidR="0059455B" w:rsidRPr="00075AD1" w14:paraId="04351B23" w14:textId="77777777" w:rsidTr="00075AD1">
        <w:tc>
          <w:tcPr>
            <w:tcW w:w="1874" w:type="pct"/>
            <w:shd w:val="clear" w:color="auto" w:fill="auto"/>
            <w:tcMar>
              <w:top w:w="0" w:type="dxa"/>
              <w:bottom w:w="0" w:type="dxa"/>
            </w:tcMar>
            <w:vAlign w:val="center"/>
          </w:tcPr>
          <w:p w14:paraId="154793E5"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Total capital source</w:t>
            </w:r>
          </w:p>
        </w:tc>
        <w:tc>
          <w:tcPr>
            <w:tcW w:w="441" w:type="pct"/>
            <w:shd w:val="clear" w:color="auto" w:fill="auto"/>
            <w:tcMar>
              <w:top w:w="0" w:type="dxa"/>
              <w:bottom w:w="0" w:type="dxa"/>
            </w:tcMar>
            <w:vAlign w:val="center"/>
          </w:tcPr>
          <w:p w14:paraId="76016B11"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440</w:t>
            </w:r>
          </w:p>
        </w:tc>
        <w:tc>
          <w:tcPr>
            <w:tcW w:w="936" w:type="pct"/>
            <w:shd w:val="clear" w:color="auto" w:fill="auto"/>
            <w:tcMar>
              <w:top w:w="0" w:type="dxa"/>
              <w:bottom w:w="0" w:type="dxa"/>
            </w:tcMar>
            <w:vAlign w:val="center"/>
          </w:tcPr>
          <w:p w14:paraId="2F7551D4"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4,158,197,091,512</w:t>
            </w:r>
          </w:p>
        </w:tc>
        <w:tc>
          <w:tcPr>
            <w:tcW w:w="794" w:type="pct"/>
            <w:shd w:val="clear" w:color="auto" w:fill="auto"/>
            <w:tcMar>
              <w:top w:w="0" w:type="dxa"/>
              <w:bottom w:w="0" w:type="dxa"/>
            </w:tcMar>
            <w:vAlign w:val="center"/>
          </w:tcPr>
          <w:p w14:paraId="42D10629"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(67,981,520)</w:t>
            </w:r>
          </w:p>
        </w:tc>
        <w:tc>
          <w:tcPr>
            <w:tcW w:w="954" w:type="pct"/>
            <w:shd w:val="clear" w:color="auto" w:fill="auto"/>
            <w:tcMar>
              <w:top w:w="0" w:type="dxa"/>
              <w:bottom w:w="0" w:type="dxa"/>
            </w:tcMar>
            <w:vAlign w:val="center"/>
          </w:tcPr>
          <w:p w14:paraId="67E62C0F"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4,158,129,109,992</w:t>
            </w:r>
          </w:p>
        </w:tc>
      </w:tr>
    </w:tbl>
    <w:p w14:paraId="045EBF79" w14:textId="77777777" w:rsidR="0059455B" w:rsidRPr="00075AD1" w:rsidRDefault="00846084" w:rsidP="006877D6">
      <w:pPr>
        <w:pBdr>
          <w:top w:val="nil"/>
          <w:left w:val="nil"/>
          <w:bottom w:val="nil"/>
          <w:right w:val="nil"/>
          <w:between w:val="nil"/>
        </w:pBdr>
        <w:tabs>
          <w:tab w:val="left" w:pos="432"/>
          <w:tab w:val="left" w:pos="1835"/>
        </w:tabs>
        <w:spacing w:after="120" w:line="360" w:lineRule="auto"/>
        <w:jc w:val="both"/>
        <w:rPr>
          <w:rFonts w:ascii="Arial" w:eastAsia="Arial" w:hAnsi="Arial" w:cs="Arial"/>
          <w:color w:val="010000"/>
          <w:sz w:val="20"/>
          <w:szCs w:val="20"/>
        </w:rPr>
      </w:pPr>
      <w:r w:rsidRPr="00075AD1">
        <w:rPr>
          <w:rFonts w:ascii="Arial" w:hAnsi="Arial" w:cs="Arial"/>
          <w:color w:val="010000"/>
          <w:sz w:val="20"/>
        </w:rPr>
        <w:t>Retroactive adjustment for targets on the Income Statement</w:t>
      </w:r>
    </w:p>
    <w:p w14:paraId="41E42973" w14:textId="77777777" w:rsidR="0059455B" w:rsidRPr="00075AD1" w:rsidRDefault="00846084" w:rsidP="006877D6">
      <w:pPr>
        <w:pBdr>
          <w:top w:val="nil"/>
          <w:left w:val="nil"/>
          <w:bottom w:val="nil"/>
          <w:right w:val="nil"/>
          <w:between w:val="nil"/>
        </w:pBdr>
        <w:tabs>
          <w:tab w:val="left" w:pos="432"/>
          <w:tab w:val="left" w:pos="1835"/>
        </w:tabs>
        <w:spacing w:after="120" w:line="360" w:lineRule="auto"/>
        <w:jc w:val="both"/>
        <w:rPr>
          <w:rFonts w:ascii="Arial" w:eastAsia="Arial" w:hAnsi="Arial" w:cs="Arial"/>
          <w:color w:val="010000"/>
          <w:sz w:val="20"/>
          <w:szCs w:val="20"/>
        </w:rPr>
      </w:pPr>
      <w:r w:rsidRPr="00075AD1">
        <w:rPr>
          <w:rFonts w:ascii="Arial" w:hAnsi="Arial" w:cs="Arial"/>
          <w:color w:val="010000"/>
          <w:sz w:val="20"/>
        </w:rPr>
        <w:t>Unit: VND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28"/>
        <w:gridCol w:w="842"/>
        <w:gridCol w:w="1656"/>
        <w:gridCol w:w="1311"/>
        <w:gridCol w:w="1782"/>
      </w:tblGrid>
      <w:tr w:rsidR="0059455B" w:rsidRPr="00075AD1" w14:paraId="266B9C32" w14:textId="77777777" w:rsidTr="00846084">
        <w:tc>
          <w:tcPr>
            <w:tcW w:w="1900" w:type="pct"/>
            <w:shd w:val="clear" w:color="auto" w:fill="auto"/>
            <w:tcMar>
              <w:top w:w="0" w:type="dxa"/>
              <w:bottom w:w="0" w:type="dxa"/>
            </w:tcMar>
            <w:vAlign w:val="center"/>
          </w:tcPr>
          <w:p w14:paraId="6916E5DC"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Target</w:t>
            </w:r>
          </w:p>
        </w:tc>
        <w:tc>
          <w:tcPr>
            <w:tcW w:w="467" w:type="pct"/>
            <w:shd w:val="clear" w:color="auto" w:fill="auto"/>
            <w:tcMar>
              <w:top w:w="0" w:type="dxa"/>
              <w:bottom w:w="0" w:type="dxa"/>
            </w:tcMar>
            <w:vAlign w:val="center"/>
          </w:tcPr>
          <w:p w14:paraId="2E7D14E5"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Code</w:t>
            </w:r>
          </w:p>
        </w:tc>
        <w:tc>
          <w:tcPr>
            <w:tcW w:w="918" w:type="pct"/>
            <w:shd w:val="clear" w:color="auto" w:fill="auto"/>
            <w:tcMar>
              <w:top w:w="0" w:type="dxa"/>
              <w:bottom w:w="0" w:type="dxa"/>
            </w:tcMar>
            <w:vAlign w:val="center"/>
          </w:tcPr>
          <w:p w14:paraId="0F976538"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Last year (before adjustment)</w:t>
            </w:r>
          </w:p>
        </w:tc>
        <w:tc>
          <w:tcPr>
            <w:tcW w:w="727" w:type="pct"/>
            <w:shd w:val="clear" w:color="auto" w:fill="auto"/>
            <w:tcMar>
              <w:top w:w="0" w:type="dxa"/>
              <w:bottom w:w="0" w:type="dxa"/>
            </w:tcMar>
            <w:vAlign w:val="center"/>
          </w:tcPr>
          <w:p w14:paraId="3E12C885"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Retroactive adjustment</w:t>
            </w:r>
          </w:p>
        </w:tc>
        <w:tc>
          <w:tcPr>
            <w:tcW w:w="988" w:type="pct"/>
            <w:shd w:val="clear" w:color="auto" w:fill="auto"/>
            <w:tcMar>
              <w:top w:w="0" w:type="dxa"/>
              <w:bottom w:w="0" w:type="dxa"/>
            </w:tcMar>
            <w:vAlign w:val="center"/>
          </w:tcPr>
          <w:p w14:paraId="71A3727A"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Last year (after adjustment)</w:t>
            </w:r>
          </w:p>
        </w:tc>
      </w:tr>
      <w:tr w:rsidR="0059455B" w:rsidRPr="00075AD1" w14:paraId="65875619" w14:textId="77777777" w:rsidTr="00846084">
        <w:tc>
          <w:tcPr>
            <w:tcW w:w="1900" w:type="pct"/>
            <w:shd w:val="clear" w:color="auto" w:fill="auto"/>
            <w:tcMar>
              <w:top w:w="0" w:type="dxa"/>
              <w:bottom w:w="0" w:type="dxa"/>
            </w:tcMar>
            <w:vAlign w:val="center"/>
          </w:tcPr>
          <w:p w14:paraId="0953F6F8" w14:textId="1F43AE49"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13</w:t>
            </w:r>
            <w:r w:rsidR="00075AD1">
              <w:rPr>
                <w:rFonts w:ascii="Arial" w:hAnsi="Arial" w:cs="Arial"/>
                <w:color w:val="010000"/>
                <w:sz w:val="20"/>
              </w:rPr>
              <w:t>.</w:t>
            </w:r>
            <w:r w:rsidRPr="00075AD1">
              <w:rPr>
                <w:rFonts w:ascii="Arial" w:hAnsi="Arial" w:cs="Arial"/>
                <w:color w:val="010000"/>
                <w:sz w:val="20"/>
              </w:rPr>
              <w:t xml:space="preserve"> Other expenses</w:t>
            </w:r>
          </w:p>
        </w:tc>
        <w:tc>
          <w:tcPr>
            <w:tcW w:w="467" w:type="pct"/>
            <w:shd w:val="clear" w:color="auto" w:fill="auto"/>
            <w:tcMar>
              <w:top w:w="0" w:type="dxa"/>
              <w:bottom w:w="0" w:type="dxa"/>
            </w:tcMar>
            <w:vAlign w:val="center"/>
          </w:tcPr>
          <w:p w14:paraId="75364289"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32</w:t>
            </w:r>
          </w:p>
        </w:tc>
        <w:tc>
          <w:tcPr>
            <w:tcW w:w="918" w:type="pct"/>
            <w:shd w:val="clear" w:color="auto" w:fill="auto"/>
            <w:tcMar>
              <w:top w:w="0" w:type="dxa"/>
              <w:bottom w:w="0" w:type="dxa"/>
            </w:tcMar>
            <w:vAlign w:val="center"/>
          </w:tcPr>
          <w:p w14:paraId="3DA375AF"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46,595,348,782</w:t>
            </w:r>
          </w:p>
        </w:tc>
        <w:tc>
          <w:tcPr>
            <w:tcW w:w="727" w:type="pct"/>
            <w:shd w:val="clear" w:color="auto" w:fill="auto"/>
            <w:tcMar>
              <w:top w:w="0" w:type="dxa"/>
              <w:bottom w:w="0" w:type="dxa"/>
            </w:tcMar>
            <w:vAlign w:val="center"/>
          </w:tcPr>
          <w:p w14:paraId="42E6946A"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15,009,215</w:t>
            </w:r>
          </w:p>
        </w:tc>
        <w:tc>
          <w:tcPr>
            <w:tcW w:w="988" w:type="pct"/>
            <w:shd w:val="clear" w:color="auto" w:fill="auto"/>
            <w:tcMar>
              <w:top w:w="0" w:type="dxa"/>
              <w:bottom w:w="0" w:type="dxa"/>
            </w:tcMar>
            <w:vAlign w:val="center"/>
          </w:tcPr>
          <w:p w14:paraId="22D8782F"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46,610,357,997</w:t>
            </w:r>
          </w:p>
        </w:tc>
      </w:tr>
      <w:tr w:rsidR="0059455B" w:rsidRPr="00075AD1" w14:paraId="7D246AF5" w14:textId="77777777" w:rsidTr="00846084">
        <w:tc>
          <w:tcPr>
            <w:tcW w:w="1900" w:type="pct"/>
            <w:shd w:val="clear" w:color="auto" w:fill="auto"/>
            <w:tcMar>
              <w:top w:w="0" w:type="dxa"/>
              <w:bottom w:w="0" w:type="dxa"/>
            </w:tcMar>
            <w:vAlign w:val="center"/>
          </w:tcPr>
          <w:p w14:paraId="13FEF1AC" w14:textId="0281EA09"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15</w:t>
            </w:r>
            <w:r w:rsidR="00075AD1">
              <w:rPr>
                <w:rFonts w:ascii="Arial" w:hAnsi="Arial" w:cs="Arial"/>
                <w:color w:val="010000"/>
                <w:sz w:val="20"/>
              </w:rPr>
              <w:t>.</w:t>
            </w:r>
            <w:r w:rsidRPr="00075AD1">
              <w:rPr>
                <w:rFonts w:ascii="Arial" w:hAnsi="Arial" w:cs="Arial"/>
                <w:color w:val="010000"/>
                <w:sz w:val="20"/>
              </w:rPr>
              <w:t xml:space="preserve"> Total profit before tax</w:t>
            </w:r>
          </w:p>
        </w:tc>
        <w:tc>
          <w:tcPr>
            <w:tcW w:w="467" w:type="pct"/>
            <w:shd w:val="clear" w:color="auto" w:fill="auto"/>
            <w:tcMar>
              <w:top w:w="0" w:type="dxa"/>
              <w:bottom w:w="0" w:type="dxa"/>
            </w:tcMar>
            <w:vAlign w:val="center"/>
          </w:tcPr>
          <w:p w14:paraId="368A1F3D"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50</w:t>
            </w:r>
          </w:p>
        </w:tc>
        <w:tc>
          <w:tcPr>
            <w:tcW w:w="918" w:type="pct"/>
            <w:shd w:val="clear" w:color="auto" w:fill="auto"/>
            <w:tcMar>
              <w:top w:w="0" w:type="dxa"/>
              <w:bottom w:w="0" w:type="dxa"/>
            </w:tcMar>
            <w:vAlign w:val="center"/>
          </w:tcPr>
          <w:p w14:paraId="6BDD3323"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52,474,444,893</w:t>
            </w:r>
          </w:p>
        </w:tc>
        <w:tc>
          <w:tcPr>
            <w:tcW w:w="727" w:type="pct"/>
            <w:shd w:val="clear" w:color="auto" w:fill="auto"/>
            <w:tcMar>
              <w:top w:w="0" w:type="dxa"/>
              <w:bottom w:w="0" w:type="dxa"/>
            </w:tcMar>
            <w:vAlign w:val="center"/>
          </w:tcPr>
          <w:p w14:paraId="1FFFA699"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(15,009,215)</w:t>
            </w:r>
          </w:p>
        </w:tc>
        <w:tc>
          <w:tcPr>
            <w:tcW w:w="988" w:type="pct"/>
            <w:shd w:val="clear" w:color="auto" w:fill="auto"/>
            <w:tcMar>
              <w:top w:w="0" w:type="dxa"/>
              <w:bottom w:w="0" w:type="dxa"/>
            </w:tcMar>
            <w:vAlign w:val="center"/>
          </w:tcPr>
          <w:p w14:paraId="2DA7102D"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52,459,435,678</w:t>
            </w:r>
          </w:p>
        </w:tc>
      </w:tr>
      <w:tr w:rsidR="0059455B" w:rsidRPr="00075AD1" w14:paraId="2DE5224C" w14:textId="77777777" w:rsidTr="00846084">
        <w:tc>
          <w:tcPr>
            <w:tcW w:w="1900" w:type="pct"/>
            <w:shd w:val="clear" w:color="auto" w:fill="auto"/>
            <w:tcMar>
              <w:top w:w="0" w:type="dxa"/>
              <w:bottom w:w="0" w:type="dxa"/>
            </w:tcMar>
            <w:vAlign w:val="center"/>
          </w:tcPr>
          <w:p w14:paraId="79282652" w14:textId="4CFC01A2"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16</w:t>
            </w:r>
            <w:r w:rsidR="00075AD1">
              <w:rPr>
                <w:rFonts w:ascii="Arial" w:hAnsi="Arial" w:cs="Arial"/>
                <w:color w:val="010000"/>
                <w:sz w:val="20"/>
              </w:rPr>
              <w:t>.</w:t>
            </w:r>
            <w:r w:rsidRPr="00075AD1">
              <w:rPr>
                <w:rFonts w:ascii="Arial" w:hAnsi="Arial" w:cs="Arial"/>
                <w:color w:val="010000"/>
                <w:sz w:val="20"/>
              </w:rPr>
              <w:t xml:space="preserve"> Current corporate income tax expense</w:t>
            </w:r>
          </w:p>
        </w:tc>
        <w:tc>
          <w:tcPr>
            <w:tcW w:w="467" w:type="pct"/>
            <w:shd w:val="clear" w:color="auto" w:fill="auto"/>
            <w:tcMar>
              <w:top w:w="0" w:type="dxa"/>
              <w:bottom w:w="0" w:type="dxa"/>
            </w:tcMar>
            <w:vAlign w:val="center"/>
          </w:tcPr>
          <w:p w14:paraId="14531898"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51</w:t>
            </w:r>
          </w:p>
        </w:tc>
        <w:tc>
          <w:tcPr>
            <w:tcW w:w="918" w:type="pct"/>
            <w:shd w:val="clear" w:color="auto" w:fill="auto"/>
            <w:tcMar>
              <w:top w:w="0" w:type="dxa"/>
              <w:bottom w:w="0" w:type="dxa"/>
            </w:tcMar>
            <w:vAlign w:val="center"/>
          </w:tcPr>
          <w:p w14:paraId="52E33BFC"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7,685,572,511</w:t>
            </w:r>
          </w:p>
        </w:tc>
        <w:tc>
          <w:tcPr>
            <w:tcW w:w="727" w:type="pct"/>
            <w:shd w:val="clear" w:color="auto" w:fill="auto"/>
            <w:tcMar>
              <w:top w:w="0" w:type="dxa"/>
              <w:bottom w:w="0" w:type="dxa"/>
            </w:tcMar>
            <w:vAlign w:val="center"/>
          </w:tcPr>
          <w:p w14:paraId="7281184C"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366,928,330</w:t>
            </w:r>
          </w:p>
        </w:tc>
        <w:tc>
          <w:tcPr>
            <w:tcW w:w="988" w:type="pct"/>
            <w:shd w:val="clear" w:color="auto" w:fill="auto"/>
            <w:tcMar>
              <w:top w:w="0" w:type="dxa"/>
              <w:bottom w:w="0" w:type="dxa"/>
            </w:tcMar>
            <w:vAlign w:val="center"/>
          </w:tcPr>
          <w:p w14:paraId="5D8E0F13"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8,052,500,841</w:t>
            </w:r>
          </w:p>
        </w:tc>
      </w:tr>
      <w:tr w:rsidR="0059455B" w:rsidRPr="00075AD1" w14:paraId="3BD990B2" w14:textId="77777777" w:rsidTr="00846084">
        <w:tc>
          <w:tcPr>
            <w:tcW w:w="1900" w:type="pct"/>
            <w:shd w:val="clear" w:color="auto" w:fill="auto"/>
            <w:tcMar>
              <w:top w:w="0" w:type="dxa"/>
              <w:bottom w:w="0" w:type="dxa"/>
            </w:tcMar>
            <w:vAlign w:val="center"/>
          </w:tcPr>
          <w:p w14:paraId="4A6181A5" w14:textId="7AD77DB1"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18</w:t>
            </w:r>
            <w:r w:rsidR="00075AD1">
              <w:rPr>
                <w:rFonts w:ascii="Arial" w:hAnsi="Arial" w:cs="Arial"/>
                <w:color w:val="010000"/>
                <w:sz w:val="20"/>
              </w:rPr>
              <w:t>.</w:t>
            </w:r>
            <w:r w:rsidRPr="00075AD1">
              <w:rPr>
                <w:rFonts w:ascii="Arial" w:hAnsi="Arial" w:cs="Arial"/>
                <w:color w:val="010000"/>
                <w:sz w:val="20"/>
              </w:rPr>
              <w:t xml:space="preserve"> Profit after tax</w:t>
            </w:r>
          </w:p>
        </w:tc>
        <w:tc>
          <w:tcPr>
            <w:tcW w:w="467" w:type="pct"/>
            <w:shd w:val="clear" w:color="auto" w:fill="auto"/>
            <w:tcMar>
              <w:top w:w="0" w:type="dxa"/>
              <w:bottom w:w="0" w:type="dxa"/>
            </w:tcMar>
            <w:vAlign w:val="center"/>
          </w:tcPr>
          <w:p w14:paraId="19B76E16"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60</w:t>
            </w:r>
          </w:p>
        </w:tc>
        <w:tc>
          <w:tcPr>
            <w:tcW w:w="918" w:type="pct"/>
            <w:shd w:val="clear" w:color="auto" w:fill="auto"/>
            <w:tcMar>
              <w:top w:w="0" w:type="dxa"/>
              <w:bottom w:w="0" w:type="dxa"/>
            </w:tcMar>
            <w:vAlign w:val="center"/>
          </w:tcPr>
          <w:p w14:paraId="2D06FEFC"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44,290,844,410</w:t>
            </w:r>
          </w:p>
        </w:tc>
        <w:tc>
          <w:tcPr>
            <w:tcW w:w="727" w:type="pct"/>
            <w:shd w:val="clear" w:color="auto" w:fill="auto"/>
            <w:tcMar>
              <w:top w:w="0" w:type="dxa"/>
              <w:bottom w:w="0" w:type="dxa"/>
            </w:tcMar>
            <w:vAlign w:val="center"/>
          </w:tcPr>
          <w:p w14:paraId="0070DDD8"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(381,937,545)</w:t>
            </w:r>
          </w:p>
        </w:tc>
        <w:tc>
          <w:tcPr>
            <w:tcW w:w="988" w:type="pct"/>
            <w:shd w:val="clear" w:color="auto" w:fill="auto"/>
            <w:tcMar>
              <w:top w:w="0" w:type="dxa"/>
              <w:bottom w:w="0" w:type="dxa"/>
            </w:tcMar>
            <w:vAlign w:val="center"/>
          </w:tcPr>
          <w:p w14:paraId="04FB6836"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43,908,906,865</w:t>
            </w:r>
          </w:p>
        </w:tc>
      </w:tr>
      <w:tr w:rsidR="0059455B" w:rsidRPr="00075AD1" w14:paraId="7B52DDE7" w14:textId="77777777" w:rsidTr="00846084">
        <w:tc>
          <w:tcPr>
            <w:tcW w:w="1900" w:type="pct"/>
            <w:shd w:val="clear" w:color="auto" w:fill="auto"/>
            <w:tcMar>
              <w:top w:w="0" w:type="dxa"/>
              <w:bottom w:w="0" w:type="dxa"/>
            </w:tcMar>
            <w:vAlign w:val="center"/>
          </w:tcPr>
          <w:p w14:paraId="2490E107"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Profit after tax of the Corporation</w:t>
            </w:r>
          </w:p>
        </w:tc>
        <w:tc>
          <w:tcPr>
            <w:tcW w:w="467" w:type="pct"/>
            <w:shd w:val="clear" w:color="auto" w:fill="auto"/>
            <w:tcMar>
              <w:top w:w="0" w:type="dxa"/>
              <w:bottom w:w="0" w:type="dxa"/>
            </w:tcMar>
            <w:vAlign w:val="center"/>
          </w:tcPr>
          <w:p w14:paraId="65159465"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70</w:t>
            </w:r>
          </w:p>
        </w:tc>
        <w:tc>
          <w:tcPr>
            <w:tcW w:w="918" w:type="pct"/>
            <w:shd w:val="clear" w:color="auto" w:fill="auto"/>
            <w:tcMar>
              <w:top w:w="0" w:type="dxa"/>
              <w:bottom w:w="0" w:type="dxa"/>
            </w:tcMar>
            <w:vAlign w:val="center"/>
          </w:tcPr>
          <w:p w14:paraId="07EAD224"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34,475,991,461</w:t>
            </w:r>
          </w:p>
        </w:tc>
        <w:tc>
          <w:tcPr>
            <w:tcW w:w="727" w:type="pct"/>
            <w:shd w:val="clear" w:color="auto" w:fill="auto"/>
            <w:tcMar>
              <w:top w:w="0" w:type="dxa"/>
              <w:bottom w:w="0" w:type="dxa"/>
            </w:tcMar>
            <w:vAlign w:val="center"/>
          </w:tcPr>
          <w:p w14:paraId="568C74AF"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(381,937,545)</w:t>
            </w:r>
          </w:p>
        </w:tc>
        <w:tc>
          <w:tcPr>
            <w:tcW w:w="988" w:type="pct"/>
            <w:shd w:val="clear" w:color="auto" w:fill="auto"/>
            <w:tcMar>
              <w:top w:w="0" w:type="dxa"/>
              <w:bottom w:w="0" w:type="dxa"/>
            </w:tcMar>
            <w:vAlign w:val="center"/>
          </w:tcPr>
          <w:p w14:paraId="656553F5"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34,094,053,916</w:t>
            </w:r>
          </w:p>
        </w:tc>
      </w:tr>
      <w:tr w:rsidR="0059455B" w:rsidRPr="00075AD1" w14:paraId="367A4D53" w14:textId="77777777" w:rsidTr="00846084">
        <w:tc>
          <w:tcPr>
            <w:tcW w:w="1900" w:type="pct"/>
            <w:shd w:val="clear" w:color="auto" w:fill="auto"/>
            <w:tcMar>
              <w:top w:w="0" w:type="dxa"/>
              <w:bottom w:w="0" w:type="dxa"/>
            </w:tcMar>
            <w:vAlign w:val="center"/>
          </w:tcPr>
          <w:p w14:paraId="3517E972" w14:textId="37FDD7FA"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19</w:t>
            </w:r>
            <w:r w:rsidR="00075AD1">
              <w:rPr>
                <w:rFonts w:ascii="Arial" w:hAnsi="Arial" w:cs="Arial"/>
                <w:color w:val="010000"/>
                <w:sz w:val="20"/>
              </w:rPr>
              <w:t>.</w:t>
            </w:r>
            <w:r w:rsidRPr="00075AD1">
              <w:rPr>
                <w:rFonts w:ascii="Arial" w:hAnsi="Arial" w:cs="Arial"/>
                <w:color w:val="010000"/>
                <w:sz w:val="20"/>
              </w:rPr>
              <w:t xml:space="preserve"> Basic </w:t>
            </w:r>
            <w:r w:rsidR="00075AD1" w:rsidRPr="00075AD1">
              <w:rPr>
                <w:rFonts w:ascii="Arial" w:hAnsi="Arial" w:cs="Arial"/>
                <w:color w:val="010000"/>
                <w:sz w:val="20"/>
              </w:rPr>
              <w:t>earnings</w:t>
            </w:r>
            <w:r w:rsidRPr="00075AD1">
              <w:rPr>
                <w:rFonts w:ascii="Arial" w:hAnsi="Arial" w:cs="Arial"/>
                <w:color w:val="010000"/>
                <w:sz w:val="20"/>
              </w:rPr>
              <w:t xml:space="preserve"> per share</w:t>
            </w:r>
          </w:p>
        </w:tc>
        <w:tc>
          <w:tcPr>
            <w:tcW w:w="467" w:type="pct"/>
            <w:shd w:val="clear" w:color="auto" w:fill="auto"/>
            <w:tcMar>
              <w:top w:w="0" w:type="dxa"/>
              <w:bottom w:w="0" w:type="dxa"/>
            </w:tcMar>
            <w:vAlign w:val="center"/>
          </w:tcPr>
          <w:p w14:paraId="71637E12"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70</w:t>
            </w:r>
          </w:p>
        </w:tc>
        <w:tc>
          <w:tcPr>
            <w:tcW w:w="918" w:type="pct"/>
            <w:shd w:val="clear" w:color="auto" w:fill="auto"/>
            <w:tcMar>
              <w:top w:w="0" w:type="dxa"/>
              <w:bottom w:w="0" w:type="dxa"/>
            </w:tcMar>
            <w:vAlign w:val="center"/>
          </w:tcPr>
          <w:p w14:paraId="10E87992"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383</w:t>
            </w:r>
          </w:p>
        </w:tc>
        <w:tc>
          <w:tcPr>
            <w:tcW w:w="727" w:type="pct"/>
            <w:shd w:val="clear" w:color="auto" w:fill="auto"/>
            <w:tcMar>
              <w:top w:w="0" w:type="dxa"/>
              <w:bottom w:w="0" w:type="dxa"/>
            </w:tcMar>
            <w:vAlign w:val="center"/>
          </w:tcPr>
          <w:p w14:paraId="418C816C"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(121)</w:t>
            </w:r>
          </w:p>
        </w:tc>
        <w:tc>
          <w:tcPr>
            <w:tcW w:w="988" w:type="pct"/>
            <w:shd w:val="clear" w:color="auto" w:fill="auto"/>
            <w:tcMar>
              <w:top w:w="0" w:type="dxa"/>
              <w:bottom w:w="0" w:type="dxa"/>
            </w:tcMar>
            <w:vAlign w:val="center"/>
          </w:tcPr>
          <w:p w14:paraId="464DEC98"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262</w:t>
            </w:r>
          </w:p>
        </w:tc>
      </w:tr>
      <w:tr w:rsidR="0059455B" w:rsidRPr="00075AD1" w14:paraId="3F27AE46" w14:textId="77777777" w:rsidTr="00846084">
        <w:tc>
          <w:tcPr>
            <w:tcW w:w="1900" w:type="pct"/>
            <w:shd w:val="clear" w:color="auto" w:fill="auto"/>
            <w:tcMar>
              <w:top w:w="0" w:type="dxa"/>
              <w:bottom w:w="0" w:type="dxa"/>
            </w:tcMar>
            <w:vAlign w:val="center"/>
          </w:tcPr>
          <w:p w14:paraId="0CF53548" w14:textId="39EBD45D"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 xml:space="preserve">20 Diluted </w:t>
            </w:r>
            <w:r w:rsidR="00075AD1">
              <w:rPr>
                <w:rFonts w:ascii="Arial" w:hAnsi="Arial" w:cs="Arial"/>
                <w:color w:val="010000"/>
                <w:sz w:val="20"/>
              </w:rPr>
              <w:t>earnings</w:t>
            </w:r>
            <w:r w:rsidRPr="00075AD1">
              <w:rPr>
                <w:rFonts w:ascii="Arial" w:hAnsi="Arial" w:cs="Arial"/>
                <w:color w:val="010000"/>
                <w:sz w:val="20"/>
              </w:rPr>
              <w:t xml:space="preserve"> per share</w:t>
            </w:r>
          </w:p>
        </w:tc>
        <w:tc>
          <w:tcPr>
            <w:tcW w:w="467" w:type="pct"/>
            <w:shd w:val="clear" w:color="auto" w:fill="auto"/>
            <w:tcMar>
              <w:top w:w="0" w:type="dxa"/>
              <w:bottom w:w="0" w:type="dxa"/>
            </w:tcMar>
            <w:vAlign w:val="center"/>
          </w:tcPr>
          <w:p w14:paraId="3609D39D"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71</w:t>
            </w:r>
          </w:p>
        </w:tc>
        <w:tc>
          <w:tcPr>
            <w:tcW w:w="918" w:type="pct"/>
            <w:shd w:val="clear" w:color="auto" w:fill="auto"/>
            <w:tcMar>
              <w:top w:w="0" w:type="dxa"/>
              <w:bottom w:w="0" w:type="dxa"/>
            </w:tcMar>
            <w:vAlign w:val="center"/>
          </w:tcPr>
          <w:p w14:paraId="3207FA50"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383</w:t>
            </w:r>
          </w:p>
        </w:tc>
        <w:tc>
          <w:tcPr>
            <w:tcW w:w="727" w:type="pct"/>
            <w:shd w:val="clear" w:color="auto" w:fill="auto"/>
            <w:tcMar>
              <w:top w:w="0" w:type="dxa"/>
              <w:bottom w:w="0" w:type="dxa"/>
            </w:tcMar>
            <w:vAlign w:val="center"/>
          </w:tcPr>
          <w:p w14:paraId="771AA574"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(121)</w:t>
            </w:r>
          </w:p>
        </w:tc>
        <w:tc>
          <w:tcPr>
            <w:tcW w:w="988" w:type="pct"/>
            <w:shd w:val="clear" w:color="auto" w:fill="auto"/>
            <w:tcMar>
              <w:top w:w="0" w:type="dxa"/>
              <w:bottom w:w="0" w:type="dxa"/>
            </w:tcMar>
            <w:vAlign w:val="center"/>
          </w:tcPr>
          <w:p w14:paraId="544A3D8A"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262</w:t>
            </w:r>
          </w:p>
        </w:tc>
      </w:tr>
      <w:tr w:rsidR="0059455B" w:rsidRPr="00075AD1" w14:paraId="1E867151" w14:textId="77777777" w:rsidTr="00846084">
        <w:tc>
          <w:tcPr>
            <w:tcW w:w="5000" w:type="pct"/>
            <w:gridSpan w:val="5"/>
            <w:shd w:val="clear" w:color="auto" w:fill="auto"/>
            <w:tcMar>
              <w:top w:w="0" w:type="dxa"/>
              <w:bottom w:w="0" w:type="dxa"/>
            </w:tcMar>
            <w:vAlign w:val="center"/>
          </w:tcPr>
          <w:p w14:paraId="705596C8"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Retroactive adjustment for targets on the Cash Flow Statement</w:t>
            </w:r>
          </w:p>
        </w:tc>
      </w:tr>
      <w:tr w:rsidR="0059455B" w:rsidRPr="00075AD1" w14:paraId="2CF48F92" w14:textId="77777777" w:rsidTr="00846084">
        <w:tc>
          <w:tcPr>
            <w:tcW w:w="5000" w:type="pct"/>
            <w:gridSpan w:val="5"/>
            <w:shd w:val="clear" w:color="auto" w:fill="auto"/>
            <w:tcMar>
              <w:top w:w="0" w:type="dxa"/>
              <w:bottom w:w="0" w:type="dxa"/>
            </w:tcMar>
            <w:vAlign w:val="center"/>
          </w:tcPr>
          <w:p w14:paraId="26B5F13E"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Unit: VND</w:t>
            </w:r>
          </w:p>
        </w:tc>
      </w:tr>
      <w:tr w:rsidR="0059455B" w:rsidRPr="00075AD1" w14:paraId="4B9664AB" w14:textId="77777777" w:rsidTr="00846084">
        <w:tc>
          <w:tcPr>
            <w:tcW w:w="1900" w:type="pct"/>
            <w:shd w:val="clear" w:color="auto" w:fill="auto"/>
            <w:tcMar>
              <w:top w:w="0" w:type="dxa"/>
              <w:bottom w:w="0" w:type="dxa"/>
            </w:tcMar>
            <w:vAlign w:val="center"/>
          </w:tcPr>
          <w:p w14:paraId="3D34A8C9"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Target</w:t>
            </w:r>
          </w:p>
        </w:tc>
        <w:tc>
          <w:tcPr>
            <w:tcW w:w="467" w:type="pct"/>
            <w:shd w:val="clear" w:color="auto" w:fill="auto"/>
            <w:tcMar>
              <w:top w:w="0" w:type="dxa"/>
              <w:bottom w:w="0" w:type="dxa"/>
            </w:tcMar>
            <w:vAlign w:val="center"/>
          </w:tcPr>
          <w:p w14:paraId="283BEB35"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Code</w:t>
            </w:r>
          </w:p>
        </w:tc>
        <w:tc>
          <w:tcPr>
            <w:tcW w:w="918" w:type="pct"/>
            <w:shd w:val="clear" w:color="auto" w:fill="auto"/>
            <w:tcMar>
              <w:top w:w="0" w:type="dxa"/>
              <w:bottom w:w="0" w:type="dxa"/>
            </w:tcMar>
            <w:vAlign w:val="center"/>
          </w:tcPr>
          <w:p w14:paraId="1DBB0EF9"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Last year (before adjustment)</w:t>
            </w:r>
          </w:p>
        </w:tc>
        <w:tc>
          <w:tcPr>
            <w:tcW w:w="727" w:type="pct"/>
            <w:shd w:val="clear" w:color="auto" w:fill="auto"/>
            <w:tcMar>
              <w:top w:w="0" w:type="dxa"/>
              <w:bottom w:w="0" w:type="dxa"/>
            </w:tcMar>
            <w:vAlign w:val="center"/>
          </w:tcPr>
          <w:p w14:paraId="2C3A1B35"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Retroactive adjustment</w:t>
            </w:r>
          </w:p>
        </w:tc>
        <w:tc>
          <w:tcPr>
            <w:tcW w:w="988" w:type="pct"/>
            <w:shd w:val="clear" w:color="auto" w:fill="auto"/>
            <w:tcMar>
              <w:top w:w="0" w:type="dxa"/>
              <w:bottom w:w="0" w:type="dxa"/>
            </w:tcMar>
            <w:vAlign w:val="center"/>
          </w:tcPr>
          <w:p w14:paraId="4C32954C"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Last year (after adjustment)</w:t>
            </w:r>
          </w:p>
        </w:tc>
      </w:tr>
      <w:tr w:rsidR="0059455B" w:rsidRPr="00075AD1" w14:paraId="57B8FE4B" w14:textId="77777777" w:rsidTr="00846084">
        <w:tc>
          <w:tcPr>
            <w:tcW w:w="1900" w:type="pct"/>
            <w:shd w:val="clear" w:color="auto" w:fill="auto"/>
            <w:tcMar>
              <w:top w:w="0" w:type="dxa"/>
              <w:bottom w:w="0" w:type="dxa"/>
            </w:tcMar>
            <w:vAlign w:val="center"/>
          </w:tcPr>
          <w:p w14:paraId="63A0C8B7"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I. Cash flow from business activities</w:t>
            </w:r>
          </w:p>
        </w:tc>
        <w:tc>
          <w:tcPr>
            <w:tcW w:w="467" w:type="pct"/>
            <w:shd w:val="clear" w:color="auto" w:fill="auto"/>
            <w:tcMar>
              <w:top w:w="0" w:type="dxa"/>
              <w:bottom w:w="0" w:type="dxa"/>
            </w:tcMar>
            <w:vAlign w:val="center"/>
          </w:tcPr>
          <w:p w14:paraId="2A40F118" w14:textId="77777777" w:rsidR="0059455B" w:rsidRPr="00075AD1" w:rsidRDefault="0059455B" w:rsidP="006877D6">
            <w:pPr>
              <w:tabs>
                <w:tab w:val="left" w:pos="432"/>
              </w:tabs>
              <w:spacing w:after="120" w:line="360" w:lineRule="auto"/>
              <w:jc w:val="both"/>
              <w:rPr>
                <w:rFonts w:ascii="Arial" w:eastAsia="Arial" w:hAnsi="Arial" w:cs="Arial"/>
                <w:color w:val="010000"/>
                <w:sz w:val="20"/>
                <w:szCs w:val="20"/>
              </w:rPr>
            </w:pPr>
          </w:p>
        </w:tc>
        <w:tc>
          <w:tcPr>
            <w:tcW w:w="918" w:type="pct"/>
            <w:shd w:val="clear" w:color="auto" w:fill="auto"/>
            <w:tcMar>
              <w:top w:w="0" w:type="dxa"/>
              <w:bottom w:w="0" w:type="dxa"/>
            </w:tcMar>
            <w:vAlign w:val="center"/>
          </w:tcPr>
          <w:p w14:paraId="186DECAE" w14:textId="77777777" w:rsidR="0059455B" w:rsidRPr="00075AD1" w:rsidRDefault="0059455B" w:rsidP="006877D6">
            <w:pPr>
              <w:tabs>
                <w:tab w:val="left" w:pos="432"/>
              </w:tabs>
              <w:spacing w:after="120" w:line="360" w:lineRule="auto"/>
              <w:jc w:val="both"/>
              <w:rPr>
                <w:rFonts w:ascii="Arial" w:eastAsia="Arial" w:hAnsi="Arial" w:cs="Arial"/>
                <w:color w:val="010000"/>
                <w:sz w:val="20"/>
                <w:szCs w:val="20"/>
              </w:rPr>
            </w:pPr>
          </w:p>
        </w:tc>
        <w:tc>
          <w:tcPr>
            <w:tcW w:w="727" w:type="pct"/>
            <w:shd w:val="clear" w:color="auto" w:fill="auto"/>
            <w:tcMar>
              <w:top w:w="0" w:type="dxa"/>
              <w:bottom w:w="0" w:type="dxa"/>
            </w:tcMar>
            <w:vAlign w:val="center"/>
          </w:tcPr>
          <w:p w14:paraId="4C1D8336" w14:textId="77777777" w:rsidR="0059455B" w:rsidRPr="00075AD1" w:rsidRDefault="0059455B" w:rsidP="006877D6">
            <w:pPr>
              <w:tabs>
                <w:tab w:val="left" w:pos="432"/>
              </w:tabs>
              <w:spacing w:after="120" w:line="360" w:lineRule="auto"/>
              <w:jc w:val="both"/>
              <w:rPr>
                <w:rFonts w:ascii="Arial" w:eastAsia="Arial" w:hAnsi="Arial" w:cs="Arial"/>
                <w:color w:val="010000"/>
                <w:sz w:val="20"/>
                <w:szCs w:val="20"/>
              </w:rPr>
            </w:pPr>
          </w:p>
        </w:tc>
        <w:tc>
          <w:tcPr>
            <w:tcW w:w="988" w:type="pct"/>
            <w:shd w:val="clear" w:color="auto" w:fill="auto"/>
            <w:tcMar>
              <w:top w:w="0" w:type="dxa"/>
              <w:bottom w:w="0" w:type="dxa"/>
            </w:tcMar>
            <w:vAlign w:val="center"/>
          </w:tcPr>
          <w:p w14:paraId="233F8AB5" w14:textId="77777777" w:rsidR="0059455B" w:rsidRPr="00075AD1" w:rsidRDefault="0059455B" w:rsidP="006877D6">
            <w:pPr>
              <w:tabs>
                <w:tab w:val="left" w:pos="432"/>
              </w:tabs>
              <w:spacing w:after="120" w:line="360" w:lineRule="auto"/>
              <w:jc w:val="both"/>
              <w:rPr>
                <w:rFonts w:ascii="Arial" w:eastAsia="Arial" w:hAnsi="Arial" w:cs="Arial"/>
                <w:color w:val="010000"/>
                <w:sz w:val="20"/>
                <w:szCs w:val="20"/>
              </w:rPr>
            </w:pPr>
          </w:p>
        </w:tc>
      </w:tr>
      <w:tr w:rsidR="0059455B" w:rsidRPr="00075AD1" w14:paraId="25594546" w14:textId="77777777" w:rsidTr="00846084">
        <w:tc>
          <w:tcPr>
            <w:tcW w:w="1900" w:type="pct"/>
            <w:shd w:val="clear" w:color="auto" w:fill="auto"/>
            <w:tcMar>
              <w:top w:w="0" w:type="dxa"/>
              <w:bottom w:w="0" w:type="dxa"/>
            </w:tcMar>
            <w:vAlign w:val="center"/>
          </w:tcPr>
          <w:p w14:paraId="6F007A74" w14:textId="0C619196" w:rsidR="0059455B" w:rsidRPr="00075AD1" w:rsidRDefault="00075AD1"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rPr>
              <w:t>1</w:t>
            </w:r>
            <w:r w:rsidR="00846084" w:rsidRPr="00075AD1">
              <w:rPr>
                <w:rFonts w:ascii="Arial" w:hAnsi="Arial" w:cs="Arial"/>
                <w:color w:val="010000"/>
                <w:sz w:val="20"/>
              </w:rPr>
              <w:t>. Profit before tax</w:t>
            </w:r>
          </w:p>
        </w:tc>
        <w:tc>
          <w:tcPr>
            <w:tcW w:w="467" w:type="pct"/>
            <w:shd w:val="clear" w:color="auto" w:fill="auto"/>
            <w:tcMar>
              <w:top w:w="0" w:type="dxa"/>
              <w:bottom w:w="0" w:type="dxa"/>
            </w:tcMar>
            <w:vAlign w:val="center"/>
          </w:tcPr>
          <w:p w14:paraId="0066B3F9"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01</w:t>
            </w:r>
          </w:p>
        </w:tc>
        <w:tc>
          <w:tcPr>
            <w:tcW w:w="918" w:type="pct"/>
            <w:shd w:val="clear" w:color="auto" w:fill="auto"/>
            <w:tcMar>
              <w:top w:w="0" w:type="dxa"/>
              <w:bottom w:w="0" w:type="dxa"/>
            </w:tcMar>
            <w:vAlign w:val="center"/>
          </w:tcPr>
          <w:p w14:paraId="7F13066F"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52,474,444,893</w:t>
            </w:r>
          </w:p>
        </w:tc>
        <w:tc>
          <w:tcPr>
            <w:tcW w:w="727" w:type="pct"/>
            <w:shd w:val="clear" w:color="auto" w:fill="auto"/>
            <w:tcMar>
              <w:top w:w="0" w:type="dxa"/>
              <w:bottom w:w="0" w:type="dxa"/>
            </w:tcMar>
            <w:vAlign w:val="center"/>
          </w:tcPr>
          <w:p w14:paraId="17EACC43"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(15,009,215)</w:t>
            </w:r>
          </w:p>
        </w:tc>
        <w:tc>
          <w:tcPr>
            <w:tcW w:w="988" w:type="pct"/>
            <w:shd w:val="clear" w:color="auto" w:fill="auto"/>
            <w:tcMar>
              <w:top w:w="0" w:type="dxa"/>
              <w:bottom w:w="0" w:type="dxa"/>
            </w:tcMar>
            <w:vAlign w:val="center"/>
          </w:tcPr>
          <w:p w14:paraId="25AAD279"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52,459,435,678</w:t>
            </w:r>
          </w:p>
        </w:tc>
      </w:tr>
      <w:tr w:rsidR="0059455B" w:rsidRPr="00075AD1" w14:paraId="5643F87E" w14:textId="77777777" w:rsidTr="00846084">
        <w:tc>
          <w:tcPr>
            <w:tcW w:w="1900" w:type="pct"/>
            <w:shd w:val="clear" w:color="auto" w:fill="auto"/>
            <w:tcMar>
              <w:top w:w="0" w:type="dxa"/>
              <w:bottom w:w="0" w:type="dxa"/>
            </w:tcMar>
            <w:vAlign w:val="center"/>
          </w:tcPr>
          <w:p w14:paraId="6CC355AF" w14:textId="161ADAAC"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2</w:t>
            </w:r>
            <w:r w:rsidR="00075AD1">
              <w:rPr>
                <w:rFonts w:ascii="Arial" w:hAnsi="Arial" w:cs="Arial"/>
                <w:color w:val="010000"/>
                <w:sz w:val="20"/>
              </w:rPr>
              <w:t>.</w:t>
            </w:r>
            <w:r w:rsidRPr="00075AD1">
              <w:rPr>
                <w:rFonts w:ascii="Arial" w:hAnsi="Arial" w:cs="Arial"/>
                <w:color w:val="010000"/>
                <w:sz w:val="20"/>
              </w:rPr>
              <w:t xml:space="preserve"> Profit from business activities before changing working capital</w:t>
            </w:r>
          </w:p>
        </w:tc>
        <w:tc>
          <w:tcPr>
            <w:tcW w:w="467" w:type="pct"/>
            <w:shd w:val="clear" w:color="auto" w:fill="auto"/>
            <w:tcMar>
              <w:top w:w="0" w:type="dxa"/>
              <w:bottom w:w="0" w:type="dxa"/>
            </w:tcMar>
            <w:vAlign w:val="center"/>
          </w:tcPr>
          <w:p w14:paraId="1CBB10D0"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08</w:t>
            </w:r>
          </w:p>
        </w:tc>
        <w:tc>
          <w:tcPr>
            <w:tcW w:w="918" w:type="pct"/>
            <w:shd w:val="clear" w:color="auto" w:fill="auto"/>
            <w:tcMar>
              <w:top w:w="0" w:type="dxa"/>
              <w:bottom w:w="0" w:type="dxa"/>
            </w:tcMar>
            <w:vAlign w:val="center"/>
          </w:tcPr>
          <w:p w14:paraId="4F80C750"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65,746,331,517</w:t>
            </w:r>
          </w:p>
        </w:tc>
        <w:tc>
          <w:tcPr>
            <w:tcW w:w="727" w:type="pct"/>
            <w:shd w:val="clear" w:color="auto" w:fill="auto"/>
            <w:tcMar>
              <w:top w:w="0" w:type="dxa"/>
              <w:bottom w:w="0" w:type="dxa"/>
            </w:tcMar>
            <w:vAlign w:val="center"/>
          </w:tcPr>
          <w:p w14:paraId="1A6B3A68"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(15,009,215)</w:t>
            </w:r>
          </w:p>
        </w:tc>
        <w:tc>
          <w:tcPr>
            <w:tcW w:w="988" w:type="pct"/>
            <w:shd w:val="clear" w:color="auto" w:fill="auto"/>
            <w:tcMar>
              <w:top w:w="0" w:type="dxa"/>
              <w:bottom w:w="0" w:type="dxa"/>
            </w:tcMar>
            <w:vAlign w:val="center"/>
          </w:tcPr>
          <w:p w14:paraId="1EAC624D"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65,731,322,302</w:t>
            </w:r>
          </w:p>
        </w:tc>
      </w:tr>
      <w:tr w:rsidR="0059455B" w:rsidRPr="00075AD1" w14:paraId="50FE8697" w14:textId="77777777" w:rsidTr="00846084">
        <w:tc>
          <w:tcPr>
            <w:tcW w:w="1900" w:type="pct"/>
            <w:shd w:val="clear" w:color="auto" w:fill="auto"/>
            <w:tcMar>
              <w:top w:w="0" w:type="dxa"/>
              <w:bottom w:w="0" w:type="dxa"/>
            </w:tcMar>
            <w:vAlign w:val="center"/>
          </w:tcPr>
          <w:p w14:paraId="08A0CF6C"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(Increase)/Decrease in receivable</w:t>
            </w:r>
          </w:p>
        </w:tc>
        <w:tc>
          <w:tcPr>
            <w:tcW w:w="467" w:type="pct"/>
            <w:shd w:val="clear" w:color="auto" w:fill="auto"/>
            <w:tcMar>
              <w:top w:w="0" w:type="dxa"/>
              <w:bottom w:w="0" w:type="dxa"/>
            </w:tcMar>
            <w:vAlign w:val="center"/>
          </w:tcPr>
          <w:p w14:paraId="1C4206F4"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09</w:t>
            </w:r>
          </w:p>
        </w:tc>
        <w:tc>
          <w:tcPr>
            <w:tcW w:w="918" w:type="pct"/>
            <w:shd w:val="clear" w:color="auto" w:fill="auto"/>
            <w:tcMar>
              <w:top w:w="0" w:type="dxa"/>
              <w:bottom w:w="0" w:type="dxa"/>
            </w:tcMar>
            <w:vAlign w:val="center"/>
          </w:tcPr>
          <w:p w14:paraId="2C117245"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320,299,342,338</w:t>
            </w:r>
          </w:p>
        </w:tc>
        <w:tc>
          <w:tcPr>
            <w:tcW w:w="727" w:type="pct"/>
            <w:shd w:val="clear" w:color="auto" w:fill="auto"/>
            <w:tcMar>
              <w:top w:w="0" w:type="dxa"/>
              <w:bottom w:w="0" w:type="dxa"/>
            </w:tcMar>
            <w:vAlign w:val="center"/>
          </w:tcPr>
          <w:p w14:paraId="34597A50"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67,981,520</w:t>
            </w:r>
          </w:p>
        </w:tc>
        <w:tc>
          <w:tcPr>
            <w:tcW w:w="988" w:type="pct"/>
            <w:shd w:val="clear" w:color="auto" w:fill="auto"/>
            <w:tcMar>
              <w:top w:w="0" w:type="dxa"/>
              <w:bottom w:w="0" w:type="dxa"/>
            </w:tcMar>
            <w:vAlign w:val="center"/>
          </w:tcPr>
          <w:p w14:paraId="67B62035"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320,367,323,858</w:t>
            </w:r>
          </w:p>
        </w:tc>
      </w:tr>
      <w:tr w:rsidR="0059455B" w:rsidRPr="00075AD1" w14:paraId="01E67647" w14:textId="77777777" w:rsidTr="00846084">
        <w:tc>
          <w:tcPr>
            <w:tcW w:w="1900" w:type="pct"/>
            <w:shd w:val="clear" w:color="auto" w:fill="auto"/>
            <w:tcMar>
              <w:top w:w="0" w:type="dxa"/>
              <w:bottom w:w="0" w:type="dxa"/>
            </w:tcMar>
            <w:vAlign w:val="center"/>
          </w:tcPr>
          <w:p w14:paraId="4F7E39ED"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(Increase)/Decrease in payables</w:t>
            </w:r>
          </w:p>
        </w:tc>
        <w:tc>
          <w:tcPr>
            <w:tcW w:w="467" w:type="pct"/>
            <w:shd w:val="clear" w:color="auto" w:fill="auto"/>
            <w:tcMar>
              <w:top w:w="0" w:type="dxa"/>
              <w:bottom w:w="0" w:type="dxa"/>
            </w:tcMar>
            <w:vAlign w:val="center"/>
          </w:tcPr>
          <w:p w14:paraId="38812897"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11</w:t>
            </w:r>
          </w:p>
        </w:tc>
        <w:tc>
          <w:tcPr>
            <w:tcW w:w="918" w:type="pct"/>
            <w:shd w:val="clear" w:color="auto" w:fill="auto"/>
            <w:tcMar>
              <w:top w:w="0" w:type="dxa"/>
              <w:bottom w:w="0" w:type="dxa"/>
            </w:tcMar>
            <w:vAlign w:val="center"/>
          </w:tcPr>
          <w:p w14:paraId="4DFF0D7C"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(276,664,363,281)</w:t>
            </w:r>
          </w:p>
        </w:tc>
        <w:tc>
          <w:tcPr>
            <w:tcW w:w="727" w:type="pct"/>
            <w:shd w:val="clear" w:color="auto" w:fill="auto"/>
            <w:tcMar>
              <w:top w:w="0" w:type="dxa"/>
              <w:bottom w:w="0" w:type="dxa"/>
            </w:tcMar>
            <w:vAlign w:val="center"/>
          </w:tcPr>
          <w:p w14:paraId="4CB525B6"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(52,972,305)</w:t>
            </w:r>
          </w:p>
        </w:tc>
        <w:tc>
          <w:tcPr>
            <w:tcW w:w="988" w:type="pct"/>
            <w:shd w:val="clear" w:color="auto" w:fill="auto"/>
            <w:tcMar>
              <w:top w:w="0" w:type="dxa"/>
              <w:bottom w:w="0" w:type="dxa"/>
            </w:tcMar>
            <w:vAlign w:val="center"/>
          </w:tcPr>
          <w:p w14:paraId="5C74A4E3" w14:textId="77777777" w:rsidR="0059455B" w:rsidRPr="00075AD1" w:rsidRDefault="00846084" w:rsidP="006877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5AD1">
              <w:rPr>
                <w:rFonts w:ascii="Arial" w:hAnsi="Arial" w:cs="Arial"/>
                <w:color w:val="010000"/>
                <w:sz w:val="20"/>
              </w:rPr>
              <w:t>(276,717,335,586)</w:t>
            </w:r>
          </w:p>
        </w:tc>
      </w:tr>
    </w:tbl>
    <w:p w14:paraId="01544528" w14:textId="77777777" w:rsidR="0059455B" w:rsidRPr="00075AD1" w:rsidRDefault="0059455B" w:rsidP="006877D6">
      <w:pPr>
        <w:tabs>
          <w:tab w:val="left" w:pos="432"/>
        </w:tabs>
        <w:spacing w:after="120" w:line="360" w:lineRule="auto"/>
        <w:jc w:val="both"/>
        <w:rPr>
          <w:rFonts w:ascii="Arial" w:eastAsia="Arial" w:hAnsi="Arial" w:cs="Arial"/>
          <w:color w:val="010000"/>
          <w:sz w:val="20"/>
          <w:szCs w:val="20"/>
        </w:rPr>
      </w:pPr>
    </w:p>
    <w:sectPr w:rsidR="0059455B" w:rsidRPr="00075AD1" w:rsidSect="00846084">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C493A"/>
    <w:multiLevelType w:val="multilevel"/>
    <w:tmpl w:val="1DBE4AA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1E84A13"/>
    <w:multiLevelType w:val="multilevel"/>
    <w:tmpl w:val="FF16B1FA"/>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FBD7E26"/>
    <w:multiLevelType w:val="multilevel"/>
    <w:tmpl w:val="767E2CD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ED46BAB"/>
    <w:multiLevelType w:val="multilevel"/>
    <w:tmpl w:val="A372D54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5B"/>
    <w:rsid w:val="00075AD1"/>
    <w:rsid w:val="0059455B"/>
    <w:rsid w:val="006877D6"/>
    <w:rsid w:val="0084608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118DD"/>
  <w15:docId w15:val="{B929AE3D-B91F-4EBA-8791-46462C02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4"/>
      <w:szCs w:val="14"/>
      <w:u w:val="none"/>
      <w:shd w:val="clear" w:color="auto" w:fill="auto"/>
    </w:rPr>
  </w:style>
  <w:style w:type="paragraph" w:customStyle="1" w:styleId="Vnbnnidung0">
    <w:name w:val="Văn bản nội dung"/>
    <w:basedOn w:val="Normal"/>
    <w:link w:val="Vnbnnidung"/>
    <w:pPr>
      <w:spacing w:line="302" w:lineRule="auto"/>
      <w:ind w:firstLine="360"/>
    </w:pPr>
    <w:rPr>
      <w:rFonts w:ascii="Times New Roman" w:eastAsia="Times New Roman" w:hAnsi="Times New Roman" w:cs="Times New Roman"/>
    </w:rPr>
  </w:style>
  <w:style w:type="paragraph" w:customStyle="1" w:styleId="Tiu10">
    <w:name w:val="Tiêu đề #1"/>
    <w:basedOn w:val="Normal"/>
    <w:link w:val="Tiu1"/>
    <w:pPr>
      <w:spacing w:line="271" w:lineRule="auto"/>
      <w:ind w:firstLine="510"/>
      <w:outlineLvl w:val="0"/>
    </w:pPr>
    <w:rPr>
      <w:rFonts w:ascii="Times New Roman" w:eastAsia="Times New Roman" w:hAnsi="Times New Roman" w:cs="Times New Roman"/>
      <w:b/>
      <w:bCs/>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customStyle="1" w:styleId="Chthchbng0">
    <w:name w:val="Chú thích bảng"/>
    <w:basedOn w:val="Normal"/>
    <w:link w:val="Chthchbng"/>
    <w:rPr>
      <w:rFonts w:ascii="Times New Roman" w:eastAsia="Times New Roman" w:hAnsi="Times New Roman" w:cs="Times New Roman"/>
      <w:b/>
      <w:bCs/>
    </w:rPr>
  </w:style>
  <w:style w:type="paragraph" w:customStyle="1" w:styleId="Khc0">
    <w:name w:val="Khác"/>
    <w:basedOn w:val="Normal"/>
    <w:link w:val="Khc"/>
    <w:pPr>
      <w:spacing w:line="302" w:lineRule="auto"/>
      <w:ind w:firstLine="360"/>
    </w:pPr>
    <w:rPr>
      <w:rFonts w:ascii="Times New Roman" w:eastAsia="Times New Roman" w:hAnsi="Times New Roman" w:cs="Times New Roman"/>
    </w:rPr>
  </w:style>
  <w:style w:type="paragraph" w:customStyle="1" w:styleId="Vnbnnidung30">
    <w:name w:val="Văn bản nội dung (3)"/>
    <w:basedOn w:val="Normal"/>
    <w:link w:val="Vnbnnidung3"/>
    <w:pPr>
      <w:spacing w:line="156" w:lineRule="auto"/>
    </w:pPr>
    <w:rPr>
      <w:rFonts w:ascii="Arial" w:eastAsia="Arial" w:hAnsi="Arial" w:cs="Arial"/>
      <w:sz w:val="14"/>
      <w:szCs w:val="1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XYPV3Fxvka+T9/tzEu1WKRytCg==">CgMxLjA4AHIhMUlLNW8yVVFndDl6SGR1UTBrMmNFVF9pTEpKTTdUdFdQ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2024-04-09T09:30:00Z</dcterms:created>
  <dcterms:modified xsi:type="dcterms:W3CDTF">2024-04-09T09:30:00Z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c9f792891c6774888d4628be4dbfa0904a065ad00d53be46be87bdcaea11940e</vt:lpwstr>
  </property>
</Properties>
</file>