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D2F8E" w14:textId="30CA8749" w:rsidR="00216A78" w:rsidRDefault="00216A78" w:rsidP="003D0E6B">
      <w:pPr>
        <w:pStyle w:val="Bodytext40"/>
        <w:spacing w:after="120" w:line="360" w:lineRule="auto"/>
        <w:jc w:val="both"/>
        <w:rPr>
          <w:rFonts w:ascii="Arial" w:hAnsi="Arial" w:cs="Arial"/>
          <w:b/>
          <w:color w:val="010000"/>
          <w:sz w:val="20"/>
        </w:rPr>
      </w:pPr>
      <w:r>
        <w:rPr>
          <w:rFonts w:ascii="Arial" w:hAnsi="Arial"/>
          <w:b/>
          <w:bCs/>
          <w:color w:val="010000"/>
          <w:sz w:val="20"/>
        </w:rPr>
        <w:t>LPB122013:</w:t>
      </w:r>
      <w:r>
        <w:rPr>
          <w:rFonts w:ascii="Arial" w:hAnsi="Arial"/>
          <w:b/>
          <w:color w:val="010000"/>
          <w:sz w:val="20"/>
        </w:rPr>
        <w:t xml:space="preserve"> Explanation </w:t>
      </w:r>
      <w:r w:rsidR="00FD50FB">
        <w:rPr>
          <w:rFonts w:ascii="Arial" w:hAnsi="Arial"/>
          <w:b/>
          <w:color w:val="010000"/>
          <w:sz w:val="20"/>
        </w:rPr>
        <w:t>on the difference in</w:t>
      </w:r>
      <w:r>
        <w:rPr>
          <w:rFonts w:ascii="Arial" w:hAnsi="Arial"/>
          <w:b/>
          <w:color w:val="010000"/>
          <w:sz w:val="20"/>
        </w:rPr>
        <w:t xml:space="preserve"> profit after tax </w:t>
      </w:r>
      <w:r w:rsidR="00FD50FB">
        <w:rPr>
          <w:rFonts w:ascii="Arial" w:hAnsi="Arial"/>
          <w:b/>
          <w:color w:val="010000"/>
          <w:sz w:val="20"/>
        </w:rPr>
        <w:t>2023</w:t>
      </w:r>
      <w:r w:rsidR="00E111EC">
        <w:rPr>
          <w:rFonts w:ascii="Arial" w:hAnsi="Arial"/>
          <w:b/>
          <w:color w:val="010000"/>
          <w:sz w:val="20"/>
        </w:rPr>
        <w:t xml:space="preserve"> </w:t>
      </w:r>
    </w:p>
    <w:p w14:paraId="1E0F617A" w14:textId="41217971" w:rsidR="00216A78" w:rsidRPr="00216A78" w:rsidRDefault="00216A78" w:rsidP="003D0E6B">
      <w:pPr>
        <w:pStyle w:val="BodyText"/>
        <w:spacing w:after="120" w:line="360" w:lineRule="auto"/>
        <w:ind w:firstLine="0"/>
        <w:jc w:val="both"/>
        <w:rPr>
          <w:rFonts w:ascii="Arial" w:hAnsi="Arial" w:cs="Arial"/>
          <w:color w:val="010000"/>
          <w:sz w:val="20"/>
        </w:rPr>
      </w:pPr>
      <w:r>
        <w:rPr>
          <w:rFonts w:ascii="Arial" w:hAnsi="Arial"/>
          <w:color w:val="010000"/>
          <w:sz w:val="20"/>
        </w:rPr>
        <w:t xml:space="preserve">On March 26, 2024, LienViet Post Joint Stock Commercial Bank announced Official Dispatch No. 6446/2024/LPBank.KTC on </w:t>
      </w:r>
      <w:r w:rsidR="00E111EC">
        <w:rPr>
          <w:rFonts w:ascii="Arial" w:hAnsi="Arial"/>
          <w:color w:val="010000"/>
          <w:sz w:val="20"/>
        </w:rPr>
        <w:t xml:space="preserve">the </w:t>
      </w:r>
      <w:r w:rsidR="00E111EC" w:rsidRPr="00E111EC">
        <w:rPr>
          <w:rFonts w:ascii="Arial" w:hAnsi="Arial"/>
          <w:color w:val="010000"/>
          <w:sz w:val="20"/>
        </w:rPr>
        <w:t xml:space="preserve">Explanation on the difference in profit after tax 2023 </w:t>
      </w:r>
      <w:r w:rsidR="00E111EC">
        <w:rPr>
          <w:rFonts w:ascii="Arial" w:hAnsi="Arial"/>
          <w:color w:val="010000"/>
          <w:sz w:val="20"/>
        </w:rPr>
        <w:t xml:space="preserve">year-on-year </w:t>
      </w:r>
      <w:r>
        <w:rPr>
          <w:rFonts w:ascii="Arial" w:hAnsi="Arial"/>
          <w:color w:val="010000"/>
          <w:sz w:val="20"/>
        </w:rPr>
        <w:t>as follows:</w:t>
      </w:r>
    </w:p>
    <w:p w14:paraId="7271D324" w14:textId="77777777" w:rsidR="001927E4" w:rsidRPr="00216A78" w:rsidRDefault="00070661" w:rsidP="00441844">
      <w:pPr>
        <w:pStyle w:val="Tablecaption0"/>
        <w:spacing w:after="120" w:line="360" w:lineRule="auto"/>
        <w:ind w:firstLine="0"/>
        <w:jc w:val="right"/>
        <w:rPr>
          <w:rFonts w:ascii="Arial" w:hAnsi="Arial" w:cs="Arial"/>
          <w:color w:val="010000"/>
          <w:sz w:val="20"/>
        </w:rPr>
      </w:pPr>
      <w:r>
        <w:rPr>
          <w:rFonts w:ascii="Arial" w:hAnsi="Arial"/>
          <w:color w:val="010000"/>
          <w:sz w:val="20"/>
        </w:rPr>
        <w:t>Unit: Million VND</w:t>
      </w:r>
    </w:p>
    <w:tbl>
      <w:tblPr>
        <w:tblOverlap w:val="never"/>
        <w:tblW w:w="5000" w:type="pct"/>
        <w:tblCellMar>
          <w:left w:w="10" w:type="dxa"/>
          <w:right w:w="10" w:type="dxa"/>
        </w:tblCellMar>
        <w:tblLook w:val="04A0" w:firstRow="1" w:lastRow="0" w:firstColumn="1" w:lastColumn="0" w:noHBand="0" w:noVBand="1"/>
      </w:tblPr>
      <w:tblGrid>
        <w:gridCol w:w="2497"/>
        <w:gridCol w:w="1872"/>
        <w:gridCol w:w="1775"/>
        <w:gridCol w:w="1699"/>
        <w:gridCol w:w="1174"/>
      </w:tblGrid>
      <w:tr w:rsidR="001927E4" w:rsidRPr="00216A78" w14:paraId="0138C263" w14:textId="77777777" w:rsidTr="00216A78">
        <w:tc>
          <w:tcPr>
            <w:tcW w:w="1385" w:type="pct"/>
            <w:vMerge w:val="restart"/>
            <w:tcBorders>
              <w:top w:val="single" w:sz="4" w:space="0" w:color="auto"/>
              <w:left w:val="single" w:sz="4" w:space="0" w:color="auto"/>
            </w:tcBorders>
            <w:shd w:val="clear" w:color="auto" w:fill="auto"/>
            <w:vAlign w:val="center"/>
          </w:tcPr>
          <w:p w14:paraId="13BE004C" w14:textId="77777777" w:rsidR="001927E4" w:rsidRPr="00216A78" w:rsidRDefault="00070661" w:rsidP="00216A78">
            <w:pPr>
              <w:pStyle w:val="Other0"/>
              <w:spacing w:after="120" w:line="360" w:lineRule="auto"/>
              <w:ind w:firstLine="0"/>
              <w:rPr>
                <w:rFonts w:ascii="Arial" w:hAnsi="Arial" w:cs="Arial"/>
                <w:color w:val="010000"/>
                <w:sz w:val="20"/>
                <w:szCs w:val="22"/>
              </w:rPr>
            </w:pPr>
            <w:r>
              <w:rPr>
                <w:rFonts w:ascii="Arial" w:hAnsi="Arial"/>
                <w:color w:val="010000"/>
                <w:sz w:val="20"/>
              </w:rPr>
              <w:t>Target</w:t>
            </w:r>
          </w:p>
        </w:tc>
        <w:tc>
          <w:tcPr>
            <w:tcW w:w="1038" w:type="pct"/>
            <w:vMerge w:val="restart"/>
            <w:tcBorders>
              <w:top w:val="single" w:sz="4" w:space="0" w:color="auto"/>
              <w:left w:val="single" w:sz="4" w:space="0" w:color="auto"/>
            </w:tcBorders>
            <w:shd w:val="clear" w:color="auto" w:fill="auto"/>
            <w:vAlign w:val="center"/>
          </w:tcPr>
          <w:p w14:paraId="7B1E0C98" w14:textId="77777777" w:rsidR="001927E4" w:rsidRPr="00216A78" w:rsidRDefault="00070661" w:rsidP="00216A78">
            <w:pPr>
              <w:pStyle w:val="Other0"/>
              <w:spacing w:after="120" w:line="360" w:lineRule="auto"/>
              <w:ind w:firstLine="0"/>
              <w:rPr>
                <w:rFonts w:ascii="Arial" w:hAnsi="Arial" w:cs="Arial"/>
                <w:color w:val="010000"/>
                <w:sz w:val="20"/>
                <w:szCs w:val="22"/>
              </w:rPr>
            </w:pPr>
            <w:r>
              <w:rPr>
                <w:rFonts w:ascii="Arial" w:hAnsi="Arial"/>
                <w:color w:val="010000"/>
                <w:sz w:val="20"/>
              </w:rPr>
              <w:t>2023</w:t>
            </w:r>
          </w:p>
        </w:tc>
        <w:tc>
          <w:tcPr>
            <w:tcW w:w="984" w:type="pct"/>
            <w:vMerge w:val="restart"/>
            <w:tcBorders>
              <w:top w:val="single" w:sz="4" w:space="0" w:color="auto"/>
              <w:left w:val="single" w:sz="4" w:space="0" w:color="auto"/>
            </w:tcBorders>
            <w:shd w:val="clear" w:color="auto" w:fill="auto"/>
            <w:vAlign w:val="center"/>
          </w:tcPr>
          <w:p w14:paraId="4AD60AC5" w14:textId="77777777" w:rsidR="001927E4" w:rsidRPr="00216A78" w:rsidRDefault="00070661" w:rsidP="00216A78">
            <w:pPr>
              <w:pStyle w:val="Other0"/>
              <w:spacing w:after="120" w:line="360" w:lineRule="auto"/>
              <w:ind w:firstLine="0"/>
              <w:rPr>
                <w:rFonts w:ascii="Arial" w:hAnsi="Arial" w:cs="Arial"/>
                <w:color w:val="010000"/>
                <w:sz w:val="20"/>
                <w:szCs w:val="22"/>
              </w:rPr>
            </w:pPr>
            <w:r>
              <w:rPr>
                <w:rFonts w:ascii="Arial" w:hAnsi="Arial"/>
                <w:color w:val="010000"/>
                <w:sz w:val="20"/>
              </w:rPr>
              <w:t>2022</w:t>
            </w:r>
          </w:p>
        </w:tc>
        <w:tc>
          <w:tcPr>
            <w:tcW w:w="1593" w:type="pct"/>
            <w:gridSpan w:val="2"/>
            <w:tcBorders>
              <w:top w:val="single" w:sz="4" w:space="0" w:color="auto"/>
              <w:left w:val="single" w:sz="4" w:space="0" w:color="auto"/>
              <w:right w:val="single" w:sz="4" w:space="0" w:color="auto"/>
            </w:tcBorders>
            <w:shd w:val="clear" w:color="auto" w:fill="auto"/>
            <w:vAlign w:val="center"/>
          </w:tcPr>
          <w:p w14:paraId="1068029C" w14:textId="77777777" w:rsidR="001927E4" w:rsidRPr="00216A78" w:rsidRDefault="00070661" w:rsidP="00216A78">
            <w:pPr>
              <w:pStyle w:val="Other0"/>
              <w:spacing w:after="120" w:line="360" w:lineRule="auto"/>
              <w:ind w:firstLine="0"/>
              <w:rPr>
                <w:rFonts w:ascii="Arial" w:hAnsi="Arial" w:cs="Arial"/>
                <w:color w:val="010000"/>
                <w:sz w:val="20"/>
                <w:szCs w:val="22"/>
              </w:rPr>
            </w:pPr>
            <w:r>
              <w:rPr>
                <w:rFonts w:ascii="Arial" w:hAnsi="Arial"/>
                <w:color w:val="010000"/>
                <w:sz w:val="20"/>
              </w:rPr>
              <w:t>Increase/(Decrease)</w:t>
            </w:r>
          </w:p>
        </w:tc>
      </w:tr>
      <w:tr w:rsidR="001927E4" w:rsidRPr="00216A78" w14:paraId="53CA70EF" w14:textId="77777777" w:rsidTr="00216A78">
        <w:tc>
          <w:tcPr>
            <w:tcW w:w="1385" w:type="pct"/>
            <w:vMerge/>
            <w:tcBorders>
              <w:left w:val="single" w:sz="4" w:space="0" w:color="auto"/>
            </w:tcBorders>
            <w:shd w:val="clear" w:color="auto" w:fill="auto"/>
            <w:vAlign w:val="center"/>
          </w:tcPr>
          <w:p w14:paraId="79860DC7" w14:textId="77777777" w:rsidR="001927E4" w:rsidRPr="00216A78" w:rsidRDefault="001927E4" w:rsidP="00216A78">
            <w:pPr>
              <w:spacing w:after="120" w:line="360" w:lineRule="auto"/>
              <w:rPr>
                <w:rFonts w:ascii="Arial" w:hAnsi="Arial" w:cs="Arial"/>
                <w:color w:val="010000"/>
                <w:sz w:val="20"/>
              </w:rPr>
            </w:pPr>
          </w:p>
        </w:tc>
        <w:tc>
          <w:tcPr>
            <w:tcW w:w="1038" w:type="pct"/>
            <w:vMerge/>
            <w:tcBorders>
              <w:left w:val="single" w:sz="4" w:space="0" w:color="auto"/>
            </w:tcBorders>
            <w:shd w:val="clear" w:color="auto" w:fill="auto"/>
            <w:vAlign w:val="center"/>
          </w:tcPr>
          <w:p w14:paraId="26CB85E1" w14:textId="77777777" w:rsidR="001927E4" w:rsidRPr="00216A78" w:rsidRDefault="001927E4" w:rsidP="00216A78">
            <w:pPr>
              <w:spacing w:after="120" w:line="360" w:lineRule="auto"/>
              <w:rPr>
                <w:rFonts w:ascii="Arial" w:hAnsi="Arial" w:cs="Arial"/>
                <w:color w:val="010000"/>
                <w:sz w:val="20"/>
              </w:rPr>
            </w:pPr>
          </w:p>
        </w:tc>
        <w:tc>
          <w:tcPr>
            <w:tcW w:w="984" w:type="pct"/>
            <w:vMerge/>
            <w:tcBorders>
              <w:left w:val="single" w:sz="4" w:space="0" w:color="auto"/>
            </w:tcBorders>
            <w:shd w:val="clear" w:color="auto" w:fill="auto"/>
            <w:vAlign w:val="center"/>
          </w:tcPr>
          <w:p w14:paraId="68DBCE0B" w14:textId="77777777" w:rsidR="001927E4" w:rsidRPr="00216A78" w:rsidRDefault="001927E4" w:rsidP="00216A78">
            <w:pPr>
              <w:spacing w:after="120" w:line="360" w:lineRule="auto"/>
              <w:rPr>
                <w:rFonts w:ascii="Arial" w:hAnsi="Arial" w:cs="Arial"/>
                <w:color w:val="010000"/>
                <w:sz w:val="20"/>
              </w:rPr>
            </w:pPr>
          </w:p>
        </w:tc>
        <w:tc>
          <w:tcPr>
            <w:tcW w:w="942" w:type="pct"/>
            <w:tcBorders>
              <w:top w:val="single" w:sz="4" w:space="0" w:color="auto"/>
              <w:left w:val="single" w:sz="4" w:space="0" w:color="auto"/>
            </w:tcBorders>
            <w:shd w:val="clear" w:color="auto" w:fill="auto"/>
            <w:vAlign w:val="center"/>
          </w:tcPr>
          <w:p w14:paraId="537C7CDF" w14:textId="77777777" w:rsidR="001927E4" w:rsidRPr="00216A78" w:rsidRDefault="00070661" w:rsidP="00216A78">
            <w:pPr>
              <w:pStyle w:val="Other0"/>
              <w:spacing w:after="120" w:line="360" w:lineRule="auto"/>
              <w:ind w:firstLine="0"/>
              <w:rPr>
                <w:rFonts w:ascii="Arial" w:hAnsi="Arial" w:cs="Arial"/>
                <w:color w:val="010000"/>
                <w:sz w:val="20"/>
                <w:szCs w:val="22"/>
              </w:rPr>
            </w:pPr>
            <w:r>
              <w:rPr>
                <w:rFonts w:ascii="Arial" w:hAnsi="Arial"/>
                <w:color w:val="010000"/>
                <w:sz w:val="20"/>
              </w:rPr>
              <w:t>Value</w:t>
            </w:r>
          </w:p>
        </w:tc>
        <w:tc>
          <w:tcPr>
            <w:tcW w:w="652" w:type="pct"/>
            <w:tcBorders>
              <w:top w:val="single" w:sz="4" w:space="0" w:color="auto"/>
              <w:left w:val="single" w:sz="4" w:space="0" w:color="auto"/>
              <w:right w:val="single" w:sz="4" w:space="0" w:color="auto"/>
            </w:tcBorders>
            <w:shd w:val="clear" w:color="auto" w:fill="auto"/>
            <w:vAlign w:val="center"/>
          </w:tcPr>
          <w:p w14:paraId="69CF6108" w14:textId="40EA2D08" w:rsidR="001927E4" w:rsidRPr="00216A78" w:rsidRDefault="00216A78" w:rsidP="00216A78">
            <w:pPr>
              <w:pStyle w:val="Other0"/>
              <w:spacing w:after="120" w:line="360" w:lineRule="auto"/>
              <w:ind w:firstLine="0"/>
              <w:rPr>
                <w:rFonts w:ascii="Arial" w:hAnsi="Arial" w:cs="Arial"/>
                <w:color w:val="010000"/>
                <w:sz w:val="20"/>
                <w:szCs w:val="13"/>
              </w:rPr>
            </w:pPr>
            <w:r>
              <w:rPr>
                <w:rFonts w:ascii="Arial" w:hAnsi="Arial"/>
                <w:color w:val="010000"/>
                <w:sz w:val="20"/>
              </w:rPr>
              <w:t>%</w:t>
            </w:r>
          </w:p>
        </w:tc>
      </w:tr>
      <w:tr w:rsidR="001927E4" w:rsidRPr="00216A78" w14:paraId="319454EC" w14:textId="77777777" w:rsidTr="00216A78">
        <w:tc>
          <w:tcPr>
            <w:tcW w:w="1385" w:type="pct"/>
            <w:tcBorders>
              <w:top w:val="single" w:sz="4" w:space="0" w:color="auto"/>
              <w:left w:val="single" w:sz="4" w:space="0" w:color="auto"/>
              <w:bottom w:val="single" w:sz="4" w:space="0" w:color="auto"/>
            </w:tcBorders>
            <w:shd w:val="clear" w:color="auto" w:fill="auto"/>
            <w:vAlign w:val="center"/>
          </w:tcPr>
          <w:p w14:paraId="185B526D" w14:textId="77777777" w:rsidR="001927E4" w:rsidRPr="00216A78" w:rsidRDefault="00070661" w:rsidP="00216A78">
            <w:pPr>
              <w:pStyle w:val="Other0"/>
              <w:spacing w:after="120" w:line="360" w:lineRule="auto"/>
              <w:ind w:firstLine="0"/>
              <w:rPr>
                <w:rFonts w:ascii="Arial" w:hAnsi="Arial" w:cs="Arial"/>
                <w:color w:val="010000"/>
                <w:sz w:val="20"/>
              </w:rPr>
            </w:pPr>
            <w:r>
              <w:rPr>
                <w:rFonts w:ascii="Arial" w:hAnsi="Arial"/>
                <w:color w:val="010000"/>
                <w:sz w:val="20"/>
              </w:rPr>
              <w:t>Profit after tax</w:t>
            </w:r>
          </w:p>
        </w:tc>
        <w:tc>
          <w:tcPr>
            <w:tcW w:w="1038" w:type="pct"/>
            <w:tcBorders>
              <w:top w:val="single" w:sz="4" w:space="0" w:color="auto"/>
              <w:left w:val="single" w:sz="4" w:space="0" w:color="auto"/>
              <w:bottom w:val="single" w:sz="4" w:space="0" w:color="auto"/>
            </w:tcBorders>
            <w:shd w:val="clear" w:color="auto" w:fill="auto"/>
            <w:vAlign w:val="center"/>
          </w:tcPr>
          <w:p w14:paraId="0275CBA9" w14:textId="77777777" w:rsidR="001927E4" w:rsidRPr="00216A78" w:rsidRDefault="00070661" w:rsidP="00216A78">
            <w:pPr>
              <w:pStyle w:val="Other0"/>
              <w:spacing w:after="120" w:line="360" w:lineRule="auto"/>
              <w:ind w:firstLine="0"/>
              <w:rPr>
                <w:rFonts w:ascii="Arial" w:hAnsi="Arial" w:cs="Arial"/>
                <w:color w:val="010000"/>
                <w:sz w:val="20"/>
              </w:rPr>
            </w:pPr>
            <w:r>
              <w:rPr>
                <w:rFonts w:ascii="Arial" w:hAnsi="Arial"/>
                <w:color w:val="010000"/>
                <w:sz w:val="20"/>
              </w:rPr>
              <w:t>5,572,246</w:t>
            </w:r>
          </w:p>
        </w:tc>
        <w:tc>
          <w:tcPr>
            <w:tcW w:w="984" w:type="pct"/>
            <w:tcBorders>
              <w:top w:val="single" w:sz="4" w:space="0" w:color="auto"/>
              <w:left w:val="single" w:sz="4" w:space="0" w:color="auto"/>
              <w:bottom w:val="single" w:sz="4" w:space="0" w:color="auto"/>
            </w:tcBorders>
            <w:shd w:val="clear" w:color="auto" w:fill="auto"/>
            <w:vAlign w:val="center"/>
          </w:tcPr>
          <w:p w14:paraId="7C12BE60" w14:textId="77777777" w:rsidR="001927E4" w:rsidRPr="00216A78" w:rsidRDefault="00070661" w:rsidP="00216A78">
            <w:pPr>
              <w:pStyle w:val="Other0"/>
              <w:spacing w:after="120" w:line="360" w:lineRule="auto"/>
              <w:ind w:firstLine="0"/>
              <w:rPr>
                <w:rFonts w:ascii="Arial" w:hAnsi="Arial" w:cs="Arial"/>
                <w:color w:val="010000"/>
                <w:sz w:val="20"/>
              </w:rPr>
            </w:pPr>
            <w:r>
              <w:rPr>
                <w:rFonts w:ascii="Arial" w:hAnsi="Arial"/>
                <w:color w:val="010000"/>
                <w:sz w:val="20"/>
              </w:rPr>
              <w:t>4,510,253</w:t>
            </w:r>
          </w:p>
        </w:tc>
        <w:tc>
          <w:tcPr>
            <w:tcW w:w="942" w:type="pct"/>
            <w:tcBorders>
              <w:top w:val="single" w:sz="4" w:space="0" w:color="auto"/>
              <w:left w:val="single" w:sz="4" w:space="0" w:color="auto"/>
              <w:bottom w:val="single" w:sz="4" w:space="0" w:color="auto"/>
            </w:tcBorders>
            <w:shd w:val="clear" w:color="auto" w:fill="auto"/>
            <w:vAlign w:val="center"/>
          </w:tcPr>
          <w:p w14:paraId="761E5A9E" w14:textId="77777777" w:rsidR="001927E4" w:rsidRPr="00216A78" w:rsidRDefault="00070661" w:rsidP="00216A78">
            <w:pPr>
              <w:pStyle w:val="Other0"/>
              <w:spacing w:after="120" w:line="360" w:lineRule="auto"/>
              <w:ind w:firstLine="0"/>
              <w:rPr>
                <w:rFonts w:ascii="Arial" w:hAnsi="Arial" w:cs="Arial"/>
                <w:color w:val="010000"/>
                <w:sz w:val="20"/>
              </w:rPr>
            </w:pPr>
            <w:r>
              <w:rPr>
                <w:rFonts w:ascii="Arial" w:hAnsi="Arial"/>
                <w:color w:val="010000"/>
                <w:sz w:val="20"/>
              </w:rPr>
              <w:t>1,061,993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058745FB" w14:textId="77777777" w:rsidR="001927E4" w:rsidRPr="00216A78" w:rsidRDefault="00070661" w:rsidP="00216A78">
            <w:pPr>
              <w:pStyle w:val="Other0"/>
              <w:spacing w:after="120" w:line="360" w:lineRule="auto"/>
              <w:ind w:firstLine="0"/>
              <w:rPr>
                <w:rFonts w:ascii="Arial" w:hAnsi="Arial" w:cs="Arial"/>
                <w:color w:val="010000"/>
                <w:sz w:val="20"/>
              </w:rPr>
            </w:pPr>
            <w:r>
              <w:rPr>
                <w:rFonts w:ascii="Arial" w:hAnsi="Arial"/>
                <w:color w:val="010000"/>
                <w:sz w:val="20"/>
              </w:rPr>
              <w:t>24%</w:t>
            </w:r>
          </w:p>
        </w:tc>
      </w:tr>
    </w:tbl>
    <w:p w14:paraId="3EC3AE27" w14:textId="5CDB5063" w:rsidR="001927E4" w:rsidRPr="00216A78" w:rsidRDefault="00070661" w:rsidP="003D0E6B">
      <w:pPr>
        <w:pStyle w:val="Tablecaption0"/>
        <w:spacing w:after="120" w:line="360" w:lineRule="auto"/>
        <w:ind w:firstLine="0"/>
        <w:jc w:val="both"/>
        <w:rPr>
          <w:rFonts w:ascii="Arial" w:hAnsi="Arial" w:cs="Arial"/>
          <w:color w:val="010000"/>
          <w:sz w:val="20"/>
        </w:rPr>
      </w:pPr>
      <w:r>
        <w:rPr>
          <w:rFonts w:ascii="Arial" w:hAnsi="Arial"/>
          <w:color w:val="010000"/>
          <w:sz w:val="20"/>
        </w:rPr>
        <w:t xml:space="preserve">Profit after tax on LPBank's Audited Financial Statements 2023 reaches VND 5,572,246 million, increasing by 24% </w:t>
      </w:r>
      <w:r w:rsidR="00441844">
        <w:rPr>
          <w:rFonts w:ascii="Arial" w:hAnsi="Arial"/>
          <w:color w:val="010000"/>
          <w:sz w:val="20"/>
        </w:rPr>
        <w:t>over</w:t>
      </w:r>
      <w:r>
        <w:rPr>
          <w:rFonts w:ascii="Arial" w:hAnsi="Arial"/>
          <w:color w:val="010000"/>
          <w:sz w:val="20"/>
        </w:rPr>
        <w:t xml:space="preserve"> the same </w:t>
      </w:r>
      <w:bookmarkStart w:id="0" w:name="_GoBack"/>
      <w:r>
        <w:rPr>
          <w:rFonts w:ascii="Arial" w:hAnsi="Arial"/>
          <w:color w:val="010000"/>
          <w:sz w:val="20"/>
        </w:rPr>
        <w:t>period in 2022 because:</w:t>
      </w:r>
    </w:p>
    <w:p w14:paraId="73FCE96E" w14:textId="4B0B99C9" w:rsidR="001927E4" w:rsidRPr="00216A78" w:rsidRDefault="00070661" w:rsidP="003D0E6B">
      <w:pPr>
        <w:pStyle w:val="BodyText"/>
        <w:numPr>
          <w:ilvl w:val="0"/>
          <w:numId w:val="2"/>
        </w:numPr>
        <w:tabs>
          <w:tab w:val="left" w:pos="867"/>
        </w:tabs>
        <w:spacing w:after="120" w:line="360" w:lineRule="auto"/>
        <w:ind w:firstLine="0"/>
        <w:jc w:val="both"/>
        <w:rPr>
          <w:rFonts w:ascii="Arial" w:hAnsi="Arial" w:cs="Arial"/>
          <w:color w:val="010000"/>
          <w:sz w:val="20"/>
        </w:rPr>
      </w:pPr>
      <w:r>
        <w:rPr>
          <w:rFonts w:ascii="Arial" w:hAnsi="Arial"/>
          <w:color w:val="010000"/>
          <w:sz w:val="20"/>
        </w:rPr>
        <w:t>The world and domestic economic status ha</w:t>
      </w:r>
      <w:r w:rsidR="00C94D9A">
        <w:rPr>
          <w:rFonts w:ascii="Arial" w:hAnsi="Arial"/>
          <w:color w:val="010000"/>
          <w:sz w:val="20"/>
        </w:rPr>
        <w:t>ve</w:t>
      </w:r>
      <w:r>
        <w:rPr>
          <w:rFonts w:ascii="Arial" w:hAnsi="Arial"/>
          <w:color w:val="010000"/>
          <w:sz w:val="20"/>
        </w:rPr>
        <w:t xml:space="preserve"> improved, leading to the business activities of many individuals and businesses starting to recover and requiring additional working capital for production and business activities. The bank has disbursed loans to meet capital requirements for the economy, leading to an increase in net interest income compared to the same period last year.</w:t>
      </w:r>
    </w:p>
    <w:p w14:paraId="489403F1" w14:textId="1BA6675A" w:rsidR="001927E4" w:rsidRPr="00216A78" w:rsidRDefault="00070661" w:rsidP="003D0E6B">
      <w:pPr>
        <w:pStyle w:val="BodyText"/>
        <w:numPr>
          <w:ilvl w:val="0"/>
          <w:numId w:val="2"/>
        </w:numPr>
        <w:tabs>
          <w:tab w:val="left" w:pos="872"/>
        </w:tabs>
        <w:spacing w:after="120" w:line="360" w:lineRule="auto"/>
        <w:ind w:firstLine="0"/>
        <w:jc w:val="both"/>
        <w:rPr>
          <w:rFonts w:ascii="Arial" w:hAnsi="Arial" w:cs="Arial"/>
          <w:color w:val="010000"/>
          <w:sz w:val="20"/>
        </w:rPr>
      </w:pPr>
      <w:r>
        <w:rPr>
          <w:rFonts w:ascii="Arial" w:hAnsi="Arial"/>
          <w:color w:val="010000"/>
          <w:sz w:val="20"/>
        </w:rPr>
        <w:t>Export orders of manufacturing enterprises have improved, leading to increased demand for foreign currency capital. In addition, the Bank has provided foreign exchange services that meet the actual requirements of enterprises, leading to increased income from foreign exchange trading activities.</w:t>
      </w:r>
    </w:p>
    <w:p w14:paraId="3FB2275D" w14:textId="7764D540" w:rsidR="001927E4" w:rsidRPr="00216A78" w:rsidRDefault="00070661" w:rsidP="003D0E6B">
      <w:pPr>
        <w:pStyle w:val="BodyText"/>
        <w:numPr>
          <w:ilvl w:val="0"/>
          <w:numId w:val="2"/>
        </w:numPr>
        <w:tabs>
          <w:tab w:val="left" w:pos="863"/>
        </w:tabs>
        <w:spacing w:after="120" w:line="360" w:lineRule="auto"/>
        <w:ind w:firstLine="0"/>
        <w:jc w:val="both"/>
        <w:rPr>
          <w:rFonts w:ascii="Arial" w:hAnsi="Arial" w:cs="Arial"/>
          <w:color w:val="010000"/>
          <w:sz w:val="20"/>
        </w:rPr>
      </w:pPr>
      <w:r>
        <w:rPr>
          <w:rFonts w:ascii="Arial" w:hAnsi="Arial"/>
          <w:color w:val="010000"/>
          <w:sz w:val="20"/>
        </w:rPr>
        <w:t xml:space="preserve">LPBank has deployed new products to enhance domestic and foreign payment services, increasing income from service activities. </w:t>
      </w:r>
    </w:p>
    <w:bookmarkEnd w:id="0"/>
    <w:p w14:paraId="2FF4DAB9" w14:textId="0508F913" w:rsidR="001927E4" w:rsidRPr="00070661" w:rsidRDefault="001927E4" w:rsidP="003D0E6B">
      <w:pPr>
        <w:pStyle w:val="BodyText"/>
        <w:spacing w:after="120" w:line="360" w:lineRule="auto"/>
        <w:ind w:firstLine="0"/>
        <w:jc w:val="both"/>
        <w:rPr>
          <w:rFonts w:ascii="Arial" w:hAnsi="Arial" w:cs="Arial"/>
          <w:color w:val="010000"/>
          <w:sz w:val="20"/>
        </w:rPr>
      </w:pPr>
    </w:p>
    <w:sectPr w:rsidR="001927E4" w:rsidRPr="00070661" w:rsidSect="00CE569A">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CBC20" w14:textId="77777777" w:rsidR="00834132" w:rsidRDefault="00834132">
      <w:r>
        <w:separator/>
      </w:r>
    </w:p>
  </w:endnote>
  <w:endnote w:type="continuationSeparator" w:id="0">
    <w:p w14:paraId="5FA3AE19" w14:textId="77777777" w:rsidR="00834132" w:rsidRDefault="0083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D3757" w14:textId="77777777" w:rsidR="00834132" w:rsidRDefault="00834132"/>
  </w:footnote>
  <w:footnote w:type="continuationSeparator" w:id="0">
    <w:p w14:paraId="5CC55200" w14:textId="77777777" w:rsidR="00834132" w:rsidRDefault="0083413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41727"/>
    <w:multiLevelType w:val="multilevel"/>
    <w:tmpl w:val="AC9C5A02"/>
    <w:lvl w:ilvl="0">
      <w:start w:val="1"/>
      <w:numFmt w:val="decimal"/>
      <w:lvlText w:val="%1."/>
      <w:lvlJc w:val="left"/>
      <w:rPr>
        <w:rFonts w:ascii="Arial" w:eastAsia="Times New Roman" w:hAnsi="Arial" w:cs="Arial"/>
        <w:b w:val="0"/>
        <w:bCs w:val="0"/>
        <w:i w:val="0"/>
        <w:iCs w:val="0"/>
        <w:smallCaps w:val="0"/>
        <w:strike w:val="0"/>
        <w:color w:val="121015"/>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16127D"/>
    <w:multiLevelType w:val="multilevel"/>
    <w:tmpl w:val="44F4DAF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E4"/>
    <w:rsid w:val="00070661"/>
    <w:rsid w:val="001927E4"/>
    <w:rsid w:val="00216A78"/>
    <w:rsid w:val="003D0E6B"/>
    <w:rsid w:val="00441844"/>
    <w:rsid w:val="00834132"/>
    <w:rsid w:val="00C94D9A"/>
    <w:rsid w:val="00CE569A"/>
    <w:rsid w:val="00E111EC"/>
    <w:rsid w:val="00FD5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008FD"/>
  <w15:docId w15:val="{EC87EE96-274F-4ABB-9549-BD711552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Segoe UI" w:eastAsia="Segoe UI" w:hAnsi="Segoe UI" w:cs="Segoe UI"/>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sz w:val="38"/>
      <w:szCs w:val="3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210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210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40">
    <w:name w:val="Body text (4)"/>
    <w:basedOn w:val="Normal"/>
    <w:link w:val="Bodytext4"/>
    <w:pPr>
      <w:spacing w:line="252" w:lineRule="auto"/>
    </w:pPr>
    <w:rPr>
      <w:rFonts w:ascii="Segoe UI" w:eastAsia="Segoe UI" w:hAnsi="Segoe UI" w:cs="Segoe UI"/>
      <w:sz w:val="15"/>
      <w:szCs w:val="15"/>
    </w:rPr>
  </w:style>
  <w:style w:type="paragraph" w:customStyle="1" w:styleId="Bodytext20">
    <w:name w:val="Body text (2)"/>
    <w:basedOn w:val="Normal"/>
    <w:link w:val="Bodytext2"/>
    <w:pPr>
      <w:spacing w:line="317" w:lineRule="auto"/>
    </w:pPr>
    <w:rPr>
      <w:rFonts w:ascii="Arial" w:eastAsia="Arial" w:hAnsi="Arial" w:cs="Arial"/>
      <w:sz w:val="9"/>
      <w:szCs w:val="9"/>
    </w:rPr>
  </w:style>
  <w:style w:type="paragraph" w:customStyle="1" w:styleId="Heading10">
    <w:name w:val="Heading #1"/>
    <w:basedOn w:val="Normal"/>
    <w:link w:val="Heading1"/>
    <w:pPr>
      <w:jc w:val="center"/>
      <w:outlineLvl w:val="0"/>
    </w:pPr>
    <w:rPr>
      <w:rFonts w:ascii="Arial" w:eastAsia="Arial" w:hAnsi="Arial" w:cs="Arial"/>
      <w:b/>
      <w:bCs/>
      <w:sz w:val="38"/>
      <w:szCs w:val="38"/>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color w:val="121015"/>
    </w:rPr>
  </w:style>
  <w:style w:type="paragraph" w:customStyle="1" w:styleId="Tablecaption0">
    <w:name w:val="Table caption"/>
    <w:basedOn w:val="Normal"/>
    <w:link w:val="Tablecaption"/>
    <w:pPr>
      <w:spacing w:line="293" w:lineRule="auto"/>
      <w:ind w:firstLine="500"/>
    </w:pPr>
    <w:rPr>
      <w:rFonts w:ascii="Times New Roman" w:eastAsia="Times New Roman" w:hAnsi="Times New Roman" w:cs="Times New Roman"/>
    </w:rPr>
  </w:style>
  <w:style w:type="paragraph" w:customStyle="1" w:styleId="Other0">
    <w:name w:val="Other"/>
    <w:basedOn w:val="Normal"/>
    <w:link w:val="Other"/>
    <w:pPr>
      <w:spacing w:line="283" w:lineRule="auto"/>
      <w:ind w:firstLine="400"/>
    </w:pPr>
    <w:rPr>
      <w:rFonts w:ascii="Times New Roman" w:eastAsia="Times New Roman" w:hAnsi="Times New Roman" w:cs="Times New Roman"/>
      <w:color w:val="121015"/>
    </w:rPr>
  </w:style>
  <w:style w:type="paragraph" w:customStyle="1" w:styleId="Bodytext30">
    <w:name w:val="Body text (3)"/>
    <w:basedOn w:val="Normal"/>
    <w:link w:val="Bodytext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2024-04-02T08:03:00Z</dcterms:created>
  <dcterms:modified xsi:type="dcterms:W3CDTF">2024-04-03T07:08:00Z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2451f560458012cf329adbaf9e13f4a45e0c1546c43a7866edb19de8b5887d7f</vt:lpwstr>
  </property>
</Properties>
</file>