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85F87" w:rsidRPr="009E069A" w:rsidRDefault="00D35395" w:rsidP="00D35395">
      <w:pPr>
        <w:pBdr>
          <w:top w:val="nil"/>
          <w:left w:val="nil"/>
          <w:bottom w:val="nil"/>
          <w:right w:val="nil"/>
          <w:between w:val="nil"/>
        </w:pBdr>
        <w:tabs>
          <w:tab w:val="left" w:pos="432"/>
        </w:tabs>
        <w:spacing w:after="120" w:line="360" w:lineRule="auto"/>
        <w:rPr>
          <w:rFonts w:ascii="Arial" w:eastAsia="Arial" w:hAnsi="Arial" w:cs="Arial"/>
          <w:b/>
          <w:sz w:val="20"/>
          <w:szCs w:val="20"/>
        </w:rPr>
      </w:pPr>
      <w:bookmarkStart w:id="0" w:name="_GoBack"/>
      <w:bookmarkEnd w:id="0"/>
      <w:proofErr w:type="spellStart"/>
      <w:r w:rsidRPr="009E069A">
        <w:rPr>
          <w:rFonts w:ascii="Arial" w:hAnsi="Arial" w:cs="Arial"/>
          <w:b/>
          <w:sz w:val="20"/>
        </w:rPr>
        <w:t>MCH</w:t>
      </w:r>
      <w:proofErr w:type="spellEnd"/>
      <w:r w:rsidRPr="009E069A">
        <w:rPr>
          <w:rFonts w:ascii="Arial" w:hAnsi="Arial" w:cs="Arial"/>
          <w:b/>
          <w:sz w:val="20"/>
        </w:rPr>
        <w:t xml:space="preserve">: Board Resolution </w:t>
      </w:r>
    </w:p>
    <w:p w14:paraId="00000002" w14:textId="742249A0" w:rsidR="00885F87" w:rsidRPr="009E069A" w:rsidRDefault="00D35395" w:rsidP="00D35395">
      <w:pPr>
        <w:pBdr>
          <w:top w:val="nil"/>
          <w:left w:val="nil"/>
          <w:bottom w:val="nil"/>
          <w:right w:val="nil"/>
          <w:between w:val="nil"/>
        </w:pBdr>
        <w:tabs>
          <w:tab w:val="left" w:pos="432"/>
        </w:tabs>
        <w:spacing w:after="120" w:line="360" w:lineRule="auto"/>
        <w:rPr>
          <w:rFonts w:ascii="Arial" w:eastAsia="Arial" w:hAnsi="Arial" w:cs="Arial"/>
          <w:sz w:val="20"/>
          <w:szCs w:val="20"/>
        </w:rPr>
      </w:pPr>
      <w:r w:rsidRPr="009E069A">
        <w:rPr>
          <w:rFonts w:ascii="Arial" w:hAnsi="Arial" w:cs="Arial"/>
          <w:sz w:val="20"/>
        </w:rPr>
        <w:t>On April 04, 2024, Masan Consumer Corporation announced Resolution No. 05/2024/NQ-</w:t>
      </w:r>
      <w:proofErr w:type="spellStart"/>
      <w:r w:rsidRPr="009E069A">
        <w:rPr>
          <w:rFonts w:ascii="Arial" w:hAnsi="Arial" w:cs="Arial"/>
          <w:sz w:val="20"/>
        </w:rPr>
        <w:t>H</w:t>
      </w:r>
      <w:r w:rsidR="002C5848" w:rsidRPr="009E069A">
        <w:rPr>
          <w:rFonts w:ascii="Arial" w:hAnsi="Arial" w:cs="Arial"/>
          <w:sz w:val="20"/>
        </w:rPr>
        <w:t>D</w:t>
      </w:r>
      <w:r w:rsidRPr="009E069A">
        <w:rPr>
          <w:rFonts w:ascii="Arial" w:hAnsi="Arial" w:cs="Arial"/>
          <w:sz w:val="20"/>
        </w:rPr>
        <w:t>QT</w:t>
      </w:r>
      <w:proofErr w:type="spellEnd"/>
      <w:r w:rsidRPr="009E069A">
        <w:rPr>
          <w:rFonts w:ascii="Arial" w:hAnsi="Arial" w:cs="Arial"/>
          <w:sz w:val="20"/>
        </w:rPr>
        <w:t>-MSC as follows:</w:t>
      </w:r>
    </w:p>
    <w:p w14:paraId="00000003" w14:textId="50E8C54D" w:rsidR="00885F87" w:rsidRPr="009E069A" w:rsidRDefault="00D35395" w:rsidP="00D35395">
      <w:pPr>
        <w:pBdr>
          <w:top w:val="nil"/>
          <w:left w:val="nil"/>
          <w:bottom w:val="nil"/>
          <w:right w:val="nil"/>
          <w:between w:val="nil"/>
        </w:pBdr>
        <w:tabs>
          <w:tab w:val="left" w:pos="432"/>
        </w:tabs>
        <w:spacing w:after="120" w:line="360" w:lineRule="auto"/>
        <w:jc w:val="both"/>
        <w:rPr>
          <w:rFonts w:ascii="Arial" w:eastAsia="Arial" w:hAnsi="Arial" w:cs="Arial"/>
          <w:sz w:val="20"/>
          <w:szCs w:val="20"/>
        </w:rPr>
      </w:pPr>
      <w:bookmarkStart w:id="1" w:name="_heading=h.gjdgxs"/>
      <w:bookmarkEnd w:id="1"/>
      <w:r w:rsidRPr="009E069A">
        <w:rPr>
          <w:rFonts w:ascii="Arial" w:hAnsi="Arial" w:cs="Arial"/>
          <w:sz w:val="20"/>
        </w:rPr>
        <w:t xml:space="preserve">‎‎Article 1. Approve </w:t>
      </w:r>
      <w:r w:rsidR="002C5848" w:rsidRPr="009E069A">
        <w:rPr>
          <w:rFonts w:ascii="Arial" w:hAnsi="Arial" w:cs="Arial"/>
          <w:sz w:val="20"/>
        </w:rPr>
        <w:t>related transactions</w:t>
      </w:r>
    </w:p>
    <w:p w14:paraId="00000004" w14:textId="59F99A5E" w:rsidR="00885F87" w:rsidRPr="009E069A" w:rsidRDefault="00D35395" w:rsidP="00D35395">
      <w:pPr>
        <w:numPr>
          <w:ilvl w:val="0"/>
          <w:numId w:val="2"/>
        </w:numPr>
        <w:pBdr>
          <w:top w:val="nil"/>
          <w:left w:val="nil"/>
          <w:bottom w:val="nil"/>
          <w:right w:val="nil"/>
          <w:between w:val="nil"/>
        </w:pBdr>
        <w:tabs>
          <w:tab w:val="left" w:pos="432"/>
          <w:tab w:val="left" w:pos="688"/>
        </w:tabs>
        <w:spacing w:after="120" w:line="360" w:lineRule="auto"/>
        <w:jc w:val="both"/>
        <w:rPr>
          <w:rFonts w:ascii="Arial" w:eastAsia="Arial" w:hAnsi="Arial" w:cs="Arial"/>
          <w:sz w:val="20"/>
          <w:szCs w:val="20"/>
        </w:rPr>
      </w:pPr>
      <w:r w:rsidRPr="009E069A">
        <w:rPr>
          <w:rFonts w:ascii="Arial" w:hAnsi="Arial" w:cs="Arial"/>
          <w:sz w:val="20"/>
        </w:rPr>
        <w:t>Enhance synergies based on the operating platform of the entire Masan Group, including the Company, subsidiaries or joint ventures</w:t>
      </w:r>
      <w:r w:rsidR="002C5848" w:rsidRPr="009E069A">
        <w:rPr>
          <w:rFonts w:ascii="Arial" w:hAnsi="Arial" w:cs="Arial"/>
          <w:sz w:val="20"/>
        </w:rPr>
        <w:t>;</w:t>
      </w:r>
      <w:r w:rsidRPr="009E069A">
        <w:rPr>
          <w:rFonts w:ascii="Arial" w:hAnsi="Arial" w:cs="Arial"/>
          <w:sz w:val="20"/>
        </w:rPr>
        <w:t xml:space="preserve"> bring economic and strategic benefits to the Company and shareholders of the Company</w:t>
      </w:r>
      <w:r w:rsidR="002C5848" w:rsidRPr="009E069A">
        <w:rPr>
          <w:rFonts w:ascii="Arial" w:hAnsi="Arial" w:cs="Arial"/>
          <w:sz w:val="20"/>
        </w:rPr>
        <w:t>;</w:t>
      </w:r>
      <w:r w:rsidRPr="009E069A">
        <w:rPr>
          <w:rFonts w:ascii="Arial" w:hAnsi="Arial" w:cs="Arial"/>
          <w:sz w:val="20"/>
        </w:rPr>
        <w:t xml:space="preserve"> approve </w:t>
      </w:r>
      <w:r w:rsidR="002C5848" w:rsidRPr="009E069A">
        <w:rPr>
          <w:rFonts w:ascii="Arial" w:hAnsi="Arial" w:cs="Arial"/>
          <w:sz w:val="20"/>
        </w:rPr>
        <w:t xml:space="preserve">signed </w:t>
      </w:r>
      <w:r w:rsidRPr="009E069A">
        <w:rPr>
          <w:rFonts w:ascii="Arial" w:hAnsi="Arial" w:cs="Arial"/>
          <w:sz w:val="20"/>
        </w:rPr>
        <w:t>internal transactions in accordance with the provisions of law</w:t>
      </w:r>
      <w:r w:rsidR="002C5848" w:rsidRPr="009E069A">
        <w:rPr>
          <w:rFonts w:ascii="Arial" w:hAnsi="Arial" w:cs="Arial"/>
          <w:sz w:val="20"/>
        </w:rPr>
        <w:t xml:space="preserve">, </w:t>
      </w:r>
      <w:r w:rsidRPr="009E069A">
        <w:rPr>
          <w:rFonts w:ascii="Arial" w:hAnsi="Arial" w:cs="Arial"/>
          <w:sz w:val="20"/>
        </w:rPr>
        <w:t xml:space="preserve">the value of these transactions </w:t>
      </w:r>
      <w:r w:rsidR="002C5848" w:rsidRPr="009E069A">
        <w:rPr>
          <w:rFonts w:ascii="Arial" w:hAnsi="Arial" w:cs="Arial"/>
          <w:sz w:val="20"/>
        </w:rPr>
        <w:t xml:space="preserve">is </w:t>
      </w:r>
      <w:r w:rsidRPr="009E069A">
        <w:rPr>
          <w:rFonts w:ascii="Arial" w:hAnsi="Arial" w:cs="Arial"/>
          <w:sz w:val="20"/>
        </w:rPr>
        <w:t>under the authority of the Board of Directors</w:t>
      </w:r>
      <w:r w:rsidR="002C5848" w:rsidRPr="009E069A">
        <w:rPr>
          <w:rFonts w:ascii="Arial" w:hAnsi="Arial" w:cs="Arial"/>
          <w:sz w:val="20"/>
        </w:rPr>
        <w:t xml:space="preserve"> and</w:t>
      </w:r>
      <w:r w:rsidRPr="009E069A">
        <w:rPr>
          <w:rFonts w:ascii="Arial" w:hAnsi="Arial" w:cs="Arial"/>
          <w:sz w:val="20"/>
        </w:rPr>
        <w:t xml:space="preserve"> in accordance with the provisions of the Charter and relevant laws (“Related Transactions”), including but not limited to the transactions listed below between the Company and (</w:t>
      </w:r>
      <w:proofErr w:type="spellStart"/>
      <w:r w:rsidRPr="009E069A">
        <w:rPr>
          <w:rFonts w:ascii="Arial" w:hAnsi="Arial" w:cs="Arial"/>
          <w:sz w:val="20"/>
        </w:rPr>
        <w:t>i</w:t>
      </w:r>
      <w:proofErr w:type="spellEnd"/>
      <w:r w:rsidRPr="009E069A">
        <w:rPr>
          <w:rFonts w:ascii="Arial" w:hAnsi="Arial" w:cs="Arial"/>
          <w:sz w:val="20"/>
        </w:rPr>
        <w:t xml:space="preserve">) Masan Group Corporation and/or its subsidiaries or joint ventures; (ii) </w:t>
      </w:r>
      <w:proofErr w:type="spellStart"/>
      <w:r w:rsidRPr="009E069A">
        <w:rPr>
          <w:rFonts w:ascii="Arial" w:hAnsi="Arial" w:cs="Arial"/>
          <w:sz w:val="20"/>
        </w:rPr>
        <w:t>MasanConsumerHoldings</w:t>
      </w:r>
      <w:proofErr w:type="spellEnd"/>
      <w:r w:rsidRPr="009E069A">
        <w:rPr>
          <w:rFonts w:ascii="Arial" w:hAnsi="Arial" w:cs="Arial"/>
          <w:sz w:val="20"/>
        </w:rPr>
        <w:t xml:space="preserve"> Company Limited and/or its subsidiaries or joint ventures; (iii) Masan </w:t>
      </w:r>
      <w:proofErr w:type="spellStart"/>
      <w:r w:rsidRPr="009E069A">
        <w:rPr>
          <w:rFonts w:ascii="Arial" w:hAnsi="Arial" w:cs="Arial"/>
          <w:sz w:val="20"/>
        </w:rPr>
        <w:t>MEATLife</w:t>
      </w:r>
      <w:proofErr w:type="spellEnd"/>
      <w:r w:rsidRPr="009E069A">
        <w:rPr>
          <w:rFonts w:ascii="Arial" w:hAnsi="Arial" w:cs="Arial"/>
          <w:sz w:val="20"/>
        </w:rPr>
        <w:t xml:space="preserve"> Corporation and/or its subsidiaries or joint ventures; (iv) Masan Vision Company Limited and/or its subsidiaries or affiliated companies; (v) </w:t>
      </w:r>
      <w:proofErr w:type="spellStart"/>
      <w:r w:rsidRPr="009E069A">
        <w:rPr>
          <w:rFonts w:ascii="Arial" w:hAnsi="Arial" w:cs="Arial"/>
          <w:sz w:val="20"/>
        </w:rPr>
        <w:t>VCM</w:t>
      </w:r>
      <w:proofErr w:type="spellEnd"/>
      <w:r w:rsidRPr="009E069A">
        <w:rPr>
          <w:rFonts w:ascii="Arial" w:hAnsi="Arial" w:cs="Arial"/>
          <w:sz w:val="20"/>
        </w:rPr>
        <w:t xml:space="preserve"> Services and Trading Development Joint Stock Company and/or its subsidiaries or joint ventures; (vi) The Sherpa Company Limited and/or its subsidiaries or joint ventures; (vii) the Company's subsidiaries or joint ventures; and/or (viii) other subsidiaries and joint ventures within Masan Group:</w:t>
      </w:r>
    </w:p>
    <w:p w14:paraId="00000005" w14:textId="77777777" w:rsidR="00885F87" w:rsidRPr="009E069A" w:rsidRDefault="00D35395" w:rsidP="00D35395">
      <w:pPr>
        <w:numPr>
          <w:ilvl w:val="0"/>
          <w:numId w:val="3"/>
        </w:numPr>
        <w:pBdr>
          <w:top w:val="nil"/>
          <w:left w:val="nil"/>
          <w:bottom w:val="nil"/>
          <w:right w:val="nil"/>
          <w:between w:val="nil"/>
        </w:pBdr>
        <w:tabs>
          <w:tab w:val="left" w:pos="432"/>
          <w:tab w:val="left" w:pos="1448"/>
        </w:tabs>
        <w:spacing w:after="120" w:line="360" w:lineRule="auto"/>
        <w:rPr>
          <w:rFonts w:ascii="Arial" w:eastAsia="Arial" w:hAnsi="Arial" w:cs="Arial"/>
          <w:sz w:val="20"/>
          <w:szCs w:val="20"/>
        </w:rPr>
      </w:pPr>
      <w:r w:rsidRPr="009E069A">
        <w:rPr>
          <w:rFonts w:ascii="Arial" w:hAnsi="Arial" w:cs="Arial"/>
          <w:sz w:val="20"/>
        </w:rPr>
        <w:t>transactions of buying and selling goods, machinery, equipment, and raw materials;</w:t>
      </w:r>
    </w:p>
    <w:p w14:paraId="00000006" w14:textId="195CA538" w:rsidR="00885F87" w:rsidRPr="009E069A" w:rsidRDefault="00D35395" w:rsidP="00D35395">
      <w:pPr>
        <w:numPr>
          <w:ilvl w:val="0"/>
          <w:numId w:val="3"/>
        </w:numPr>
        <w:pBdr>
          <w:top w:val="nil"/>
          <w:left w:val="nil"/>
          <w:bottom w:val="nil"/>
          <w:right w:val="nil"/>
          <w:between w:val="nil"/>
        </w:pBdr>
        <w:tabs>
          <w:tab w:val="left" w:pos="432"/>
          <w:tab w:val="left" w:pos="1448"/>
        </w:tabs>
        <w:spacing w:after="120" w:line="360" w:lineRule="auto"/>
        <w:jc w:val="both"/>
        <w:rPr>
          <w:rFonts w:ascii="Arial" w:eastAsia="Arial" w:hAnsi="Arial" w:cs="Arial"/>
          <w:sz w:val="20"/>
          <w:szCs w:val="20"/>
        </w:rPr>
      </w:pPr>
      <w:r w:rsidRPr="009E069A">
        <w:rPr>
          <w:rFonts w:ascii="Arial" w:hAnsi="Arial" w:cs="Arial"/>
          <w:sz w:val="20"/>
        </w:rPr>
        <w:t>service contracts to act as trade promotion agents for each other and provide samples for consumers;</w:t>
      </w:r>
    </w:p>
    <w:p w14:paraId="00000007" w14:textId="1378D461" w:rsidR="00885F87" w:rsidRPr="009E069A" w:rsidRDefault="00D35395" w:rsidP="00D35395">
      <w:pPr>
        <w:numPr>
          <w:ilvl w:val="0"/>
          <w:numId w:val="3"/>
        </w:numPr>
        <w:pBdr>
          <w:top w:val="nil"/>
          <w:left w:val="nil"/>
          <w:bottom w:val="nil"/>
          <w:right w:val="nil"/>
          <w:between w:val="nil"/>
        </w:pBdr>
        <w:tabs>
          <w:tab w:val="left" w:pos="432"/>
          <w:tab w:val="left" w:pos="1448"/>
        </w:tabs>
        <w:spacing w:after="120" w:line="360" w:lineRule="auto"/>
        <w:jc w:val="both"/>
        <w:rPr>
          <w:rFonts w:ascii="Arial" w:eastAsia="Arial" w:hAnsi="Arial" w:cs="Arial"/>
          <w:sz w:val="20"/>
          <w:szCs w:val="20"/>
        </w:rPr>
      </w:pPr>
      <w:r w:rsidRPr="009E069A">
        <w:rPr>
          <w:rFonts w:ascii="Arial" w:hAnsi="Arial" w:cs="Arial"/>
          <w:sz w:val="20"/>
        </w:rPr>
        <w:t>transactions transferring ownership rights, granting rights to use trademarks, innovations, technical innovations, copyrights and other intellectual property objects</w:t>
      </w:r>
      <w:r w:rsidR="002C5848" w:rsidRPr="009E069A">
        <w:rPr>
          <w:rFonts w:ascii="Arial" w:hAnsi="Arial" w:cs="Arial"/>
          <w:sz w:val="20"/>
        </w:rPr>
        <w:t xml:space="preserve"> </w:t>
      </w:r>
      <w:r w:rsidRPr="009E069A">
        <w:rPr>
          <w:rFonts w:ascii="Arial" w:hAnsi="Arial" w:cs="Arial"/>
          <w:sz w:val="20"/>
        </w:rPr>
        <w:t xml:space="preserve">whether </w:t>
      </w:r>
      <w:r w:rsidR="002C5848" w:rsidRPr="009E069A">
        <w:rPr>
          <w:rFonts w:ascii="Arial" w:hAnsi="Arial" w:cs="Arial"/>
          <w:sz w:val="20"/>
        </w:rPr>
        <w:t xml:space="preserve">they have </w:t>
      </w:r>
      <w:r w:rsidRPr="009E069A">
        <w:rPr>
          <w:rFonts w:ascii="Arial" w:hAnsi="Arial" w:cs="Arial"/>
          <w:sz w:val="20"/>
        </w:rPr>
        <w:t>registered for protection or not;</w:t>
      </w:r>
    </w:p>
    <w:p w14:paraId="00000008" w14:textId="0C318BE3" w:rsidR="00885F87" w:rsidRPr="009E069A" w:rsidRDefault="00D35395" w:rsidP="00D35395">
      <w:pPr>
        <w:numPr>
          <w:ilvl w:val="0"/>
          <w:numId w:val="3"/>
        </w:numPr>
        <w:pBdr>
          <w:top w:val="nil"/>
          <w:left w:val="nil"/>
          <w:bottom w:val="nil"/>
          <w:right w:val="nil"/>
          <w:between w:val="nil"/>
        </w:pBdr>
        <w:tabs>
          <w:tab w:val="left" w:pos="432"/>
          <w:tab w:val="left" w:pos="1448"/>
        </w:tabs>
        <w:spacing w:after="120" w:line="360" w:lineRule="auto"/>
        <w:jc w:val="both"/>
        <w:rPr>
          <w:rFonts w:ascii="Arial" w:eastAsia="Arial" w:hAnsi="Arial" w:cs="Arial"/>
          <w:sz w:val="20"/>
          <w:szCs w:val="20"/>
        </w:rPr>
      </w:pPr>
      <w:proofErr w:type="gramStart"/>
      <w:r w:rsidRPr="009E069A">
        <w:rPr>
          <w:rFonts w:ascii="Arial" w:hAnsi="Arial" w:cs="Arial"/>
          <w:sz w:val="20"/>
        </w:rPr>
        <w:t>mutual</w:t>
      </w:r>
      <w:proofErr w:type="gramEnd"/>
      <w:r w:rsidRPr="009E069A">
        <w:rPr>
          <w:rFonts w:ascii="Arial" w:hAnsi="Arial" w:cs="Arial"/>
          <w:sz w:val="20"/>
        </w:rPr>
        <w:t xml:space="preserve"> support transactions to pay investment and/or operating expenses (“Expenses”)</w:t>
      </w:r>
      <w:r w:rsidR="00327927" w:rsidRPr="009E069A">
        <w:rPr>
          <w:rFonts w:ascii="Arial" w:hAnsi="Arial" w:cs="Arial"/>
          <w:sz w:val="20"/>
        </w:rPr>
        <w:t xml:space="preserve">. Those </w:t>
      </w:r>
      <w:r w:rsidRPr="009E069A">
        <w:rPr>
          <w:rFonts w:ascii="Arial" w:hAnsi="Arial" w:cs="Arial"/>
          <w:sz w:val="20"/>
        </w:rPr>
        <w:t xml:space="preserve">Expenses will be reimbursed internally to each other according to </w:t>
      </w:r>
      <w:r w:rsidR="00327927" w:rsidRPr="009E069A">
        <w:rPr>
          <w:rFonts w:ascii="Arial" w:hAnsi="Arial" w:cs="Arial"/>
          <w:sz w:val="20"/>
        </w:rPr>
        <w:t xml:space="preserve">the Accounting Standards </w:t>
      </w:r>
      <w:r w:rsidRPr="009E069A">
        <w:rPr>
          <w:rFonts w:ascii="Arial" w:hAnsi="Arial" w:cs="Arial"/>
          <w:sz w:val="20"/>
        </w:rPr>
        <w:t xml:space="preserve">in accordance with </w:t>
      </w:r>
      <w:r w:rsidR="00327927" w:rsidRPr="009E069A">
        <w:rPr>
          <w:rFonts w:ascii="Arial" w:hAnsi="Arial" w:cs="Arial"/>
          <w:sz w:val="20"/>
        </w:rPr>
        <w:t>the</w:t>
      </w:r>
      <w:r w:rsidRPr="009E069A">
        <w:rPr>
          <w:rFonts w:ascii="Arial" w:hAnsi="Arial" w:cs="Arial"/>
          <w:sz w:val="20"/>
        </w:rPr>
        <w:t xml:space="preserve"> provisions of law;</w:t>
      </w:r>
    </w:p>
    <w:p w14:paraId="00000009" w14:textId="77777777" w:rsidR="00885F87" w:rsidRPr="009E069A" w:rsidRDefault="00D35395" w:rsidP="00D35395">
      <w:pPr>
        <w:numPr>
          <w:ilvl w:val="0"/>
          <w:numId w:val="3"/>
        </w:numPr>
        <w:pBdr>
          <w:top w:val="nil"/>
          <w:left w:val="nil"/>
          <w:bottom w:val="nil"/>
          <w:right w:val="nil"/>
          <w:between w:val="nil"/>
        </w:pBdr>
        <w:tabs>
          <w:tab w:val="left" w:pos="432"/>
          <w:tab w:val="left" w:pos="1473"/>
        </w:tabs>
        <w:spacing w:after="120" w:line="360" w:lineRule="auto"/>
        <w:rPr>
          <w:rFonts w:ascii="Arial" w:eastAsia="Arial" w:hAnsi="Arial" w:cs="Arial"/>
          <w:sz w:val="20"/>
          <w:szCs w:val="20"/>
        </w:rPr>
      </w:pPr>
      <w:r w:rsidRPr="009E069A">
        <w:rPr>
          <w:rFonts w:ascii="Arial" w:hAnsi="Arial" w:cs="Arial"/>
          <w:sz w:val="20"/>
        </w:rPr>
        <w:t>factory, machinery and equipment rental contracts;</w:t>
      </w:r>
    </w:p>
    <w:p w14:paraId="0000000A" w14:textId="77777777" w:rsidR="00885F87" w:rsidRPr="009E069A" w:rsidRDefault="00D35395" w:rsidP="00D35395">
      <w:pPr>
        <w:numPr>
          <w:ilvl w:val="0"/>
          <w:numId w:val="3"/>
        </w:numPr>
        <w:pBdr>
          <w:top w:val="nil"/>
          <w:left w:val="nil"/>
          <w:bottom w:val="nil"/>
          <w:right w:val="nil"/>
          <w:between w:val="nil"/>
        </w:pBdr>
        <w:tabs>
          <w:tab w:val="left" w:pos="432"/>
          <w:tab w:val="left" w:pos="1473"/>
        </w:tabs>
        <w:spacing w:after="120" w:line="360" w:lineRule="auto"/>
        <w:rPr>
          <w:rFonts w:ascii="Arial" w:eastAsia="Arial" w:hAnsi="Arial" w:cs="Arial"/>
          <w:sz w:val="20"/>
          <w:szCs w:val="20"/>
        </w:rPr>
      </w:pPr>
      <w:r w:rsidRPr="009E069A">
        <w:rPr>
          <w:rFonts w:ascii="Arial" w:hAnsi="Arial" w:cs="Arial"/>
          <w:sz w:val="20"/>
        </w:rPr>
        <w:t>goods processing contracts;</w:t>
      </w:r>
    </w:p>
    <w:p w14:paraId="0000000B" w14:textId="4F8B83DA" w:rsidR="00885F87" w:rsidRPr="009E069A" w:rsidRDefault="00D35395" w:rsidP="00D35395">
      <w:pPr>
        <w:numPr>
          <w:ilvl w:val="0"/>
          <w:numId w:val="3"/>
        </w:numPr>
        <w:pBdr>
          <w:top w:val="nil"/>
          <w:left w:val="nil"/>
          <w:bottom w:val="nil"/>
          <w:right w:val="nil"/>
          <w:between w:val="nil"/>
        </w:pBdr>
        <w:tabs>
          <w:tab w:val="left" w:pos="432"/>
          <w:tab w:val="left" w:pos="1473"/>
        </w:tabs>
        <w:spacing w:after="120" w:line="360" w:lineRule="auto"/>
        <w:jc w:val="both"/>
        <w:rPr>
          <w:rFonts w:ascii="Arial" w:eastAsia="Arial" w:hAnsi="Arial" w:cs="Arial"/>
          <w:sz w:val="20"/>
          <w:szCs w:val="20"/>
        </w:rPr>
      </w:pPr>
      <w:r w:rsidRPr="009E069A">
        <w:rPr>
          <w:rFonts w:ascii="Arial" w:hAnsi="Arial" w:cs="Arial"/>
          <w:sz w:val="20"/>
        </w:rPr>
        <w:t xml:space="preserve">Expense sharing/allocation transactions; Accordingly, allocated/shared expenses include, but are not limited to information technology service expenses, management expenses, other service expenses, and actual operating expenses </w:t>
      </w:r>
      <w:r w:rsidR="00327927" w:rsidRPr="009E069A">
        <w:rPr>
          <w:rFonts w:ascii="Arial" w:hAnsi="Arial" w:cs="Arial"/>
          <w:sz w:val="20"/>
        </w:rPr>
        <w:t>in accordance with the</w:t>
      </w:r>
      <w:r w:rsidRPr="009E069A">
        <w:rPr>
          <w:rFonts w:ascii="Arial" w:hAnsi="Arial" w:cs="Arial"/>
          <w:sz w:val="20"/>
        </w:rPr>
        <w:t xml:space="preserve"> market price and allocated on the basis of agreement between the above companies according to the principles of transparency, equality, reasonableness, in accordance with market practices and legal regulations;</w:t>
      </w:r>
    </w:p>
    <w:p w14:paraId="0000000C" w14:textId="383A23E4" w:rsidR="00885F87" w:rsidRPr="009E069A" w:rsidRDefault="00D35395" w:rsidP="00D35395">
      <w:pPr>
        <w:numPr>
          <w:ilvl w:val="0"/>
          <w:numId w:val="3"/>
        </w:numPr>
        <w:pBdr>
          <w:top w:val="nil"/>
          <w:left w:val="nil"/>
          <w:bottom w:val="nil"/>
          <w:right w:val="nil"/>
          <w:between w:val="nil"/>
        </w:pBdr>
        <w:tabs>
          <w:tab w:val="left" w:pos="432"/>
          <w:tab w:val="left" w:pos="1473"/>
        </w:tabs>
        <w:spacing w:after="120" w:line="360" w:lineRule="auto"/>
        <w:jc w:val="both"/>
        <w:rPr>
          <w:rFonts w:ascii="Arial" w:eastAsia="Arial" w:hAnsi="Arial" w:cs="Arial"/>
          <w:sz w:val="20"/>
          <w:szCs w:val="20"/>
        </w:rPr>
      </w:pPr>
      <w:r w:rsidRPr="009E069A">
        <w:rPr>
          <w:rFonts w:ascii="Arial" w:hAnsi="Arial" w:cs="Arial"/>
          <w:sz w:val="20"/>
        </w:rPr>
        <w:t>Borrowing, lending, purchasing and selling transactions of bonds issued by the Company, its subsidiaries and joint ventures within the Masan Group Corporation as stated in the opening paragraph of this Article, or bonds issued by other organizations; and</w:t>
      </w:r>
    </w:p>
    <w:p w14:paraId="0000000E" w14:textId="75112411" w:rsidR="00885F87" w:rsidRPr="009E069A" w:rsidRDefault="00D35395" w:rsidP="00D35395">
      <w:pPr>
        <w:numPr>
          <w:ilvl w:val="0"/>
          <w:numId w:val="3"/>
        </w:numPr>
        <w:pBdr>
          <w:top w:val="nil"/>
          <w:left w:val="nil"/>
          <w:bottom w:val="nil"/>
          <w:right w:val="nil"/>
          <w:between w:val="nil"/>
        </w:pBdr>
        <w:tabs>
          <w:tab w:val="left" w:pos="432"/>
          <w:tab w:val="left" w:pos="1473"/>
        </w:tabs>
        <w:spacing w:after="120" w:line="360" w:lineRule="auto"/>
        <w:jc w:val="both"/>
        <w:rPr>
          <w:rFonts w:ascii="Arial" w:eastAsia="Arial" w:hAnsi="Arial" w:cs="Arial"/>
          <w:sz w:val="20"/>
          <w:szCs w:val="20"/>
        </w:rPr>
      </w:pPr>
      <w:proofErr w:type="gramStart"/>
      <w:r w:rsidRPr="009E069A">
        <w:rPr>
          <w:rFonts w:ascii="Arial" w:hAnsi="Arial" w:cs="Arial"/>
          <w:sz w:val="20"/>
        </w:rPr>
        <w:t>on</w:t>
      </w:r>
      <w:proofErr w:type="gramEnd"/>
      <w:r w:rsidRPr="009E069A">
        <w:rPr>
          <w:rFonts w:ascii="Arial" w:hAnsi="Arial" w:cs="Arial"/>
          <w:sz w:val="20"/>
        </w:rPr>
        <w:t xml:space="preserve"> the basis of optimizing cash flow and financial activities of the parties,</w:t>
      </w:r>
      <w:r w:rsidR="00327927" w:rsidRPr="009E069A">
        <w:rPr>
          <w:rFonts w:ascii="Arial" w:eastAsia="Arial" w:hAnsi="Arial" w:cs="Arial"/>
          <w:sz w:val="20"/>
          <w:szCs w:val="20"/>
        </w:rPr>
        <w:t xml:space="preserve"> </w:t>
      </w:r>
      <w:r w:rsidRPr="009E069A">
        <w:rPr>
          <w:rFonts w:ascii="Arial" w:hAnsi="Arial" w:cs="Arial"/>
          <w:sz w:val="20"/>
        </w:rPr>
        <w:t>(</w:t>
      </w:r>
      <w:proofErr w:type="spellStart"/>
      <w:r w:rsidRPr="009E069A">
        <w:rPr>
          <w:rFonts w:ascii="Arial" w:hAnsi="Arial" w:cs="Arial"/>
          <w:sz w:val="20"/>
        </w:rPr>
        <w:t>i</w:t>
      </w:r>
      <w:proofErr w:type="spellEnd"/>
      <w:r w:rsidRPr="009E069A">
        <w:rPr>
          <w:rFonts w:ascii="Arial" w:hAnsi="Arial" w:cs="Arial"/>
          <w:sz w:val="20"/>
        </w:rPr>
        <w:t xml:space="preserve">) guarantee transactions </w:t>
      </w:r>
      <w:r w:rsidRPr="009E069A">
        <w:rPr>
          <w:rFonts w:ascii="Arial" w:hAnsi="Arial" w:cs="Arial"/>
          <w:sz w:val="20"/>
        </w:rPr>
        <w:lastRenderedPageBreak/>
        <w:t xml:space="preserve">whereby any </w:t>
      </w:r>
      <w:r w:rsidR="00327927" w:rsidRPr="009E069A">
        <w:rPr>
          <w:rFonts w:ascii="Arial" w:hAnsi="Arial" w:cs="Arial"/>
          <w:sz w:val="20"/>
        </w:rPr>
        <w:t>C</w:t>
      </w:r>
      <w:r w:rsidRPr="009E069A">
        <w:rPr>
          <w:rFonts w:ascii="Arial" w:hAnsi="Arial" w:cs="Arial"/>
          <w:sz w:val="20"/>
        </w:rPr>
        <w:t xml:space="preserve">ompany grants a guarantee to another </w:t>
      </w:r>
      <w:r w:rsidR="00327927" w:rsidRPr="009E069A">
        <w:rPr>
          <w:rFonts w:ascii="Arial" w:hAnsi="Arial" w:cs="Arial"/>
          <w:sz w:val="20"/>
        </w:rPr>
        <w:t>C</w:t>
      </w:r>
      <w:r w:rsidRPr="009E069A">
        <w:rPr>
          <w:rFonts w:ascii="Arial" w:hAnsi="Arial" w:cs="Arial"/>
          <w:sz w:val="20"/>
        </w:rPr>
        <w:t xml:space="preserve">ompany within the Masan Group Corporation; and (ii) mortgage transactions, whereby any </w:t>
      </w:r>
      <w:r w:rsidR="00327927" w:rsidRPr="009E069A">
        <w:rPr>
          <w:rFonts w:ascii="Arial" w:hAnsi="Arial" w:cs="Arial"/>
          <w:sz w:val="20"/>
        </w:rPr>
        <w:t>C</w:t>
      </w:r>
      <w:r w:rsidRPr="009E069A">
        <w:rPr>
          <w:rFonts w:ascii="Arial" w:hAnsi="Arial" w:cs="Arial"/>
          <w:sz w:val="20"/>
        </w:rPr>
        <w:t xml:space="preserve">ompany uses its assets to secure the obligations of another </w:t>
      </w:r>
      <w:r w:rsidR="00327927" w:rsidRPr="009E069A">
        <w:rPr>
          <w:rFonts w:ascii="Arial" w:hAnsi="Arial" w:cs="Arial"/>
          <w:sz w:val="20"/>
        </w:rPr>
        <w:t>C</w:t>
      </w:r>
      <w:r w:rsidRPr="009E069A">
        <w:rPr>
          <w:rFonts w:ascii="Arial" w:hAnsi="Arial" w:cs="Arial"/>
          <w:sz w:val="20"/>
        </w:rPr>
        <w:t>ompany within the Masan Group Corporation.</w:t>
      </w:r>
    </w:p>
    <w:p w14:paraId="0000000F" w14:textId="17EE3708" w:rsidR="00885F87" w:rsidRPr="009E069A" w:rsidRDefault="00327927" w:rsidP="00D35395">
      <w:pPr>
        <w:pBdr>
          <w:top w:val="nil"/>
          <w:left w:val="nil"/>
          <w:bottom w:val="nil"/>
          <w:right w:val="nil"/>
          <w:between w:val="nil"/>
        </w:pBdr>
        <w:tabs>
          <w:tab w:val="left" w:pos="432"/>
          <w:tab w:val="left" w:pos="8837"/>
        </w:tabs>
        <w:spacing w:after="120" w:line="360" w:lineRule="auto"/>
        <w:rPr>
          <w:rFonts w:ascii="Arial" w:eastAsia="Arial" w:hAnsi="Arial" w:cs="Arial"/>
          <w:sz w:val="20"/>
          <w:szCs w:val="20"/>
        </w:rPr>
      </w:pPr>
      <w:r w:rsidRPr="009E069A">
        <w:rPr>
          <w:rFonts w:ascii="Arial" w:hAnsi="Arial" w:cs="Arial"/>
          <w:sz w:val="20"/>
        </w:rPr>
        <w:t>S</w:t>
      </w:r>
      <w:r w:rsidR="00D35395" w:rsidRPr="009E069A">
        <w:rPr>
          <w:rFonts w:ascii="Arial" w:hAnsi="Arial" w:cs="Arial"/>
          <w:sz w:val="20"/>
        </w:rPr>
        <w:t xml:space="preserve">ubsidiary or joint venture </w:t>
      </w:r>
      <w:r w:rsidRPr="009E069A">
        <w:rPr>
          <w:rFonts w:ascii="Arial" w:hAnsi="Arial" w:cs="Arial"/>
          <w:sz w:val="20"/>
        </w:rPr>
        <w:t>are those</w:t>
      </w:r>
      <w:r w:rsidR="00D35395" w:rsidRPr="009E069A">
        <w:rPr>
          <w:rFonts w:ascii="Arial" w:hAnsi="Arial" w:cs="Arial"/>
          <w:sz w:val="20"/>
        </w:rPr>
        <w:t xml:space="preserve"> listed in the Company's </w:t>
      </w:r>
      <w:r w:rsidRPr="009E069A">
        <w:rPr>
          <w:rFonts w:ascii="Arial" w:hAnsi="Arial" w:cs="Arial"/>
          <w:sz w:val="20"/>
        </w:rPr>
        <w:t xml:space="preserve">Consolidated Financial Statements </w:t>
      </w:r>
      <w:r w:rsidR="00D35395" w:rsidRPr="009E069A">
        <w:rPr>
          <w:rFonts w:ascii="Arial" w:hAnsi="Arial" w:cs="Arial"/>
          <w:sz w:val="20"/>
        </w:rPr>
        <w:t>from time to time.</w:t>
      </w:r>
    </w:p>
    <w:p w14:paraId="00000011" w14:textId="0BBE2469" w:rsidR="00885F87" w:rsidRPr="009E069A" w:rsidRDefault="00D35395" w:rsidP="00D35395">
      <w:pPr>
        <w:numPr>
          <w:ilvl w:val="0"/>
          <w:numId w:val="2"/>
        </w:numPr>
        <w:pBdr>
          <w:top w:val="nil"/>
          <w:left w:val="nil"/>
          <w:bottom w:val="nil"/>
          <w:right w:val="nil"/>
          <w:between w:val="nil"/>
        </w:pBdr>
        <w:tabs>
          <w:tab w:val="left" w:pos="432"/>
          <w:tab w:val="left" w:pos="720"/>
        </w:tabs>
        <w:spacing w:after="120" w:line="360" w:lineRule="auto"/>
        <w:rPr>
          <w:rFonts w:ascii="Arial" w:eastAsia="Arial" w:hAnsi="Arial" w:cs="Arial"/>
          <w:sz w:val="20"/>
          <w:szCs w:val="20"/>
        </w:rPr>
      </w:pPr>
      <w:r w:rsidRPr="009E069A">
        <w:rPr>
          <w:rFonts w:ascii="Arial" w:hAnsi="Arial" w:cs="Arial"/>
          <w:sz w:val="20"/>
        </w:rPr>
        <w:t>Authorize the Chair of the Board of Directors</w:t>
      </w:r>
      <w:r w:rsidR="00327927" w:rsidRPr="009E069A">
        <w:rPr>
          <w:rFonts w:ascii="Arial" w:hAnsi="Arial" w:cs="Arial"/>
          <w:sz w:val="20"/>
        </w:rPr>
        <w:t xml:space="preserve"> </w:t>
      </w:r>
      <w:r w:rsidRPr="009E069A">
        <w:rPr>
          <w:rFonts w:ascii="Arial" w:hAnsi="Arial" w:cs="Arial"/>
          <w:sz w:val="20"/>
        </w:rPr>
        <w:t xml:space="preserve">or </w:t>
      </w:r>
      <w:r w:rsidR="00327927" w:rsidRPr="009E069A">
        <w:rPr>
          <w:rFonts w:ascii="Arial" w:hAnsi="Arial" w:cs="Arial"/>
          <w:sz w:val="20"/>
        </w:rPr>
        <w:t xml:space="preserve">the </w:t>
      </w:r>
      <w:r w:rsidRPr="009E069A">
        <w:rPr>
          <w:rFonts w:ascii="Arial" w:hAnsi="Arial" w:cs="Arial"/>
          <w:sz w:val="20"/>
        </w:rPr>
        <w:t xml:space="preserve">General Manager and allow the Chair of the Board of Directors or </w:t>
      </w:r>
      <w:r w:rsidR="00327927" w:rsidRPr="009E069A">
        <w:rPr>
          <w:rFonts w:ascii="Arial" w:hAnsi="Arial" w:cs="Arial"/>
          <w:sz w:val="20"/>
        </w:rPr>
        <w:t xml:space="preserve">the </w:t>
      </w:r>
      <w:r w:rsidRPr="009E069A">
        <w:rPr>
          <w:rFonts w:ascii="Arial" w:hAnsi="Arial" w:cs="Arial"/>
          <w:sz w:val="20"/>
        </w:rPr>
        <w:t>General Manager to authorize other managers of the Company:</w:t>
      </w:r>
    </w:p>
    <w:p w14:paraId="00000012" w14:textId="206B8AD3" w:rsidR="00885F87" w:rsidRPr="009E069A" w:rsidRDefault="00D35395" w:rsidP="00D35395">
      <w:pPr>
        <w:numPr>
          <w:ilvl w:val="0"/>
          <w:numId w:val="1"/>
        </w:numPr>
        <w:pBdr>
          <w:top w:val="nil"/>
          <w:left w:val="nil"/>
          <w:bottom w:val="nil"/>
          <w:right w:val="nil"/>
          <w:between w:val="nil"/>
        </w:pBdr>
        <w:tabs>
          <w:tab w:val="left" w:pos="432"/>
          <w:tab w:val="left" w:pos="1473"/>
        </w:tabs>
        <w:spacing w:after="120" w:line="360" w:lineRule="auto"/>
        <w:jc w:val="both"/>
        <w:rPr>
          <w:rFonts w:ascii="Arial" w:eastAsia="Arial" w:hAnsi="Arial" w:cs="Arial"/>
          <w:sz w:val="20"/>
          <w:szCs w:val="20"/>
        </w:rPr>
      </w:pPr>
      <w:r w:rsidRPr="009E069A">
        <w:rPr>
          <w:rFonts w:ascii="Arial" w:hAnsi="Arial" w:cs="Arial"/>
          <w:sz w:val="20"/>
        </w:rPr>
        <w:t xml:space="preserve">Decide on the specific terms and conditions of the related transactions and contracts, agreements and documents related to </w:t>
      </w:r>
      <w:r w:rsidR="00327927" w:rsidRPr="009E069A">
        <w:rPr>
          <w:rFonts w:ascii="Arial" w:hAnsi="Arial" w:cs="Arial"/>
          <w:sz w:val="20"/>
        </w:rPr>
        <w:t>Related Transactions</w:t>
      </w:r>
      <w:r w:rsidRPr="009E069A">
        <w:rPr>
          <w:rFonts w:ascii="Arial" w:hAnsi="Arial" w:cs="Arial"/>
          <w:sz w:val="20"/>
        </w:rPr>
        <w:t xml:space="preserve">, including agreements </w:t>
      </w:r>
      <w:r w:rsidR="00327927" w:rsidRPr="009E069A">
        <w:rPr>
          <w:rFonts w:ascii="Arial" w:hAnsi="Arial" w:cs="Arial"/>
          <w:sz w:val="20"/>
        </w:rPr>
        <w:t>on</w:t>
      </w:r>
      <w:r w:rsidRPr="009E069A">
        <w:rPr>
          <w:rFonts w:ascii="Arial" w:hAnsi="Arial" w:cs="Arial"/>
          <w:sz w:val="20"/>
        </w:rPr>
        <w:t xml:space="preserve"> adjusting, supplementing, terminating, or replacing the </w:t>
      </w:r>
      <w:r w:rsidR="00327927" w:rsidRPr="009E069A">
        <w:rPr>
          <w:rFonts w:ascii="Arial" w:hAnsi="Arial" w:cs="Arial"/>
          <w:sz w:val="20"/>
        </w:rPr>
        <w:t xml:space="preserve">Related Transactions </w:t>
      </w:r>
      <w:r w:rsidRPr="009E069A">
        <w:rPr>
          <w:rFonts w:ascii="Arial" w:hAnsi="Arial" w:cs="Arial"/>
          <w:sz w:val="20"/>
        </w:rPr>
        <w:t>(if any);</w:t>
      </w:r>
    </w:p>
    <w:p w14:paraId="00000013" w14:textId="0AE4DAB4" w:rsidR="00885F87" w:rsidRPr="009E069A" w:rsidRDefault="00D35395" w:rsidP="00D35395">
      <w:pPr>
        <w:numPr>
          <w:ilvl w:val="0"/>
          <w:numId w:val="1"/>
        </w:numPr>
        <w:pBdr>
          <w:top w:val="nil"/>
          <w:left w:val="nil"/>
          <w:bottom w:val="nil"/>
          <w:right w:val="nil"/>
          <w:between w:val="nil"/>
        </w:pBdr>
        <w:tabs>
          <w:tab w:val="left" w:pos="432"/>
          <w:tab w:val="left" w:pos="1473"/>
        </w:tabs>
        <w:spacing w:after="120" w:line="360" w:lineRule="auto"/>
        <w:jc w:val="both"/>
        <w:rPr>
          <w:rFonts w:ascii="Arial" w:eastAsia="Arial" w:hAnsi="Arial" w:cs="Arial"/>
          <w:sz w:val="20"/>
          <w:szCs w:val="20"/>
        </w:rPr>
      </w:pPr>
      <w:r w:rsidRPr="009E069A">
        <w:rPr>
          <w:rFonts w:ascii="Arial" w:hAnsi="Arial" w:cs="Arial"/>
          <w:sz w:val="20"/>
        </w:rPr>
        <w:t xml:space="preserve">Sign and </w:t>
      </w:r>
      <w:r w:rsidR="00327927" w:rsidRPr="009E069A">
        <w:rPr>
          <w:rFonts w:ascii="Arial" w:hAnsi="Arial" w:cs="Arial"/>
          <w:sz w:val="20"/>
        </w:rPr>
        <w:t>make</w:t>
      </w:r>
      <w:r w:rsidRPr="009E069A">
        <w:rPr>
          <w:rFonts w:ascii="Arial" w:hAnsi="Arial" w:cs="Arial"/>
          <w:sz w:val="20"/>
        </w:rPr>
        <w:t xml:space="preserve"> related transactions and contracts, agreements and documents related to </w:t>
      </w:r>
      <w:r w:rsidR="00327927" w:rsidRPr="009E069A">
        <w:rPr>
          <w:rFonts w:ascii="Arial" w:hAnsi="Arial" w:cs="Arial"/>
          <w:sz w:val="20"/>
        </w:rPr>
        <w:t>Related Transactions</w:t>
      </w:r>
      <w:r w:rsidRPr="009E069A">
        <w:rPr>
          <w:rFonts w:ascii="Arial" w:hAnsi="Arial" w:cs="Arial"/>
          <w:sz w:val="20"/>
        </w:rPr>
        <w:t xml:space="preserve"> including agreements </w:t>
      </w:r>
      <w:r w:rsidR="00327927" w:rsidRPr="009E069A">
        <w:rPr>
          <w:rFonts w:ascii="Arial" w:hAnsi="Arial" w:cs="Arial"/>
          <w:sz w:val="20"/>
        </w:rPr>
        <w:t>on</w:t>
      </w:r>
      <w:r w:rsidRPr="009E069A">
        <w:rPr>
          <w:rFonts w:ascii="Arial" w:hAnsi="Arial" w:cs="Arial"/>
          <w:sz w:val="20"/>
        </w:rPr>
        <w:t xml:space="preserve"> adjusting, supplementing, terminating, or replacing the </w:t>
      </w:r>
      <w:r w:rsidR="00327927" w:rsidRPr="009E069A">
        <w:rPr>
          <w:rFonts w:ascii="Arial" w:hAnsi="Arial" w:cs="Arial"/>
          <w:sz w:val="20"/>
        </w:rPr>
        <w:t xml:space="preserve">Related Transactions </w:t>
      </w:r>
      <w:r w:rsidRPr="009E069A">
        <w:rPr>
          <w:rFonts w:ascii="Arial" w:hAnsi="Arial" w:cs="Arial"/>
          <w:sz w:val="20"/>
        </w:rPr>
        <w:t>(if any);</w:t>
      </w:r>
    </w:p>
    <w:p w14:paraId="00000014" w14:textId="77777777" w:rsidR="00885F87" w:rsidRPr="009E069A" w:rsidRDefault="00D35395" w:rsidP="00D35395">
      <w:pPr>
        <w:pBdr>
          <w:top w:val="nil"/>
          <w:left w:val="nil"/>
          <w:bottom w:val="nil"/>
          <w:right w:val="nil"/>
          <w:between w:val="nil"/>
        </w:pBdr>
        <w:tabs>
          <w:tab w:val="left" w:pos="432"/>
        </w:tabs>
        <w:spacing w:after="120" w:line="360" w:lineRule="auto"/>
        <w:rPr>
          <w:rFonts w:ascii="Arial" w:eastAsia="Arial" w:hAnsi="Arial" w:cs="Arial"/>
          <w:sz w:val="20"/>
          <w:szCs w:val="20"/>
        </w:rPr>
      </w:pPr>
      <w:r w:rsidRPr="009E069A">
        <w:rPr>
          <w:rFonts w:ascii="Arial" w:hAnsi="Arial" w:cs="Arial"/>
          <w:sz w:val="20"/>
        </w:rPr>
        <w:t>‎‎Article 2. This Resolution takes effect from the date of its signing.</w:t>
      </w:r>
    </w:p>
    <w:sectPr w:rsidR="00885F87" w:rsidRPr="009E069A" w:rsidSect="002E2122">
      <w:pgSz w:w="11906" w:h="16838"/>
      <w:pgMar w:top="1440" w:right="1440" w:bottom="1440" w:left="144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07CCE"/>
    <w:multiLevelType w:val="multilevel"/>
    <w:tmpl w:val="5DD2C7DA"/>
    <w:lvl w:ilvl="0">
      <w:start w:val="1"/>
      <w:numFmt w:val="lowerLetter"/>
      <w:lvlText w:val="%1."/>
      <w:lvlJc w:val="left"/>
      <w:pPr>
        <w:ind w:left="0" w:firstLine="0"/>
      </w:pPr>
      <w:rPr>
        <w:rFonts w:ascii="Arial" w:eastAsia="Times New Roman" w:hAnsi="Arial" w:cs="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3EC2B86"/>
    <w:multiLevelType w:val="multilevel"/>
    <w:tmpl w:val="8DD0F8E0"/>
    <w:lvl w:ilvl="0">
      <w:start w:val="1"/>
      <w:numFmt w:val="decimal"/>
      <w:lvlText w:val="%1."/>
      <w:lvlJc w:val="left"/>
      <w:pPr>
        <w:ind w:left="0" w:firstLine="0"/>
      </w:pPr>
      <w:rPr>
        <w:rFonts w:ascii="Arial" w:eastAsia="Times New Roman" w:hAnsi="Arial" w:cs="Arial" w:hint="default"/>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4C57C2F"/>
    <w:multiLevelType w:val="multilevel"/>
    <w:tmpl w:val="B59E19BA"/>
    <w:lvl w:ilvl="0">
      <w:start w:val="1"/>
      <w:numFmt w:val="lowerLetter"/>
      <w:lvlText w:val="%1."/>
      <w:lvlJc w:val="left"/>
      <w:pPr>
        <w:ind w:left="0" w:firstLine="0"/>
      </w:pPr>
      <w:rPr>
        <w:rFonts w:ascii="Arial" w:eastAsia="Times New Roman" w:hAnsi="Arial" w:cs="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87"/>
    <w:rsid w:val="002C5848"/>
    <w:rsid w:val="002E2122"/>
    <w:rsid w:val="00327927"/>
    <w:rsid w:val="0050445B"/>
    <w:rsid w:val="007615F2"/>
    <w:rsid w:val="00885F87"/>
    <w:rsid w:val="009E069A"/>
    <w:rsid w:val="00D3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43C44"/>
  <w15:docId w15:val="{600CEBDF-2D7B-48B0-870E-9DBE8528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after="260"/>
    </w:pPr>
    <w:rPr>
      <w:rFonts w:ascii="Times New Roman" w:eastAsia="Times New Roman" w:hAnsi="Times New Roman" w:cs="Times New Roman"/>
    </w:rPr>
  </w:style>
  <w:style w:type="paragraph" w:customStyle="1" w:styleId="Heading11">
    <w:name w:val="Heading #1"/>
    <w:basedOn w:val="Normal"/>
    <w:link w:val="Heading10"/>
    <w:pPr>
      <w:spacing w:after="260"/>
      <w:jc w:val="center"/>
      <w:outlineLvl w:val="0"/>
    </w:pPr>
    <w:rPr>
      <w:rFonts w:ascii="Times New Roman" w:eastAsia="Times New Roman" w:hAnsi="Times New Roman" w:cs="Times New Roman"/>
      <w:b/>
      <w:bCs/>
      <w:sz w:val="28"/>
      <w:szCs w:val="28"/>
    </w:rPr>
  </w:style>
  <w:style w:type="paragraph" w:customStyle="1" w:styleId="Tableofcontents0">
    <w:name w:val="Table of contents"/>
    <w:basedOn w:val="Normal"/>
    <w:link w:val="Tableofcontents"/>
    <w:pPr>
      <w:ind w:firstLine="72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54WdomFWRchMoJIv41qXL1+d0g==">CgMxLjAyCGguZ2pkZ3hzMgppZC4zMGowemxsMgppZC4xZm9iOXRlMgppZC4zem55c2g3MgppZC4yZXQ5MnAwMglpZC50eWpjd3QyCmlkLjNkeTZ2a20yCmlkLjF0M2g1c2YyCmlkLjRkMzRvZzgyCmlkLjJzOGV5bzEyCmlkLjE3ZHA4dnUyCmlkLjNyZGNyam4yCmlkLjI2aW4xcmcyCWlkLmxueGJ6OTgAciExWnlmYXUwWFpORWVreE5BUVc5UGVoOU9RaDNsdlpydW8=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Thi Thu Giang</cp:lastModifiedBy>
  <cp:revision>2</cp:revision>
  <dcterms:created xsi:type="dcterms:W3CDTF">2024-04-10T03:38:00Z</dcterms:created>
  <dcterms:modified xsi:type="dcterms:W3CDTF">2024-04-10T03:38:00Z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3d3d82152ec574e9aab60dbd38c58afa961e3b3105b217199ae896aca42f2dcc</vt:lpwstr>
  </property>
</Properties>
</file>