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ECF49" w14:textId="43131350" w:rsidR="00E55D0B" w:rsidRPr="00E55D0B" w:rsidRDefault="00B22A64" w:rsidP="00A77AC9">
      <w:pPr>
        <w:pBdr>
          <w:top w:val="nil"/>
          <w:left w:val="nil"/>
          <w:bottom w:val="nil"/>
          <w:right w:val="nil"/>
          <w:between w:val="nil"/>
        </w:pBdr>
        <w:tabs>
          <w:tab w:val="left" w:pos="7219"/>
        </w:tabs>
        <w:spacing w:after="120" w:line="360" w:lineRule="auto"/>
        <w:rPr>
          <w:rFonts w:ascii="Arial" w:hAnsi="Arial" w:cs="Arial"/>
          <w:b/>
          <w:color w:val="010000"/>
          <w:sz w:val="20"/>
        </w:rPr>
      </w:pPr>
      <w:bookmarkStart w:id="0" w:name="_GoBack"/>
      <w:bookmarkEnd w:id="0"/>
      <w:r w:rsidRPr="00017B78">
        <w:rPr>
          <w:rFonts w:ascii="Arial" w:hAnsi="Arial" w:cs="Arial"/>
          <w:b/>
          <w:color w:val="010000"/>
          <w:sz w:val="20"/>
        </w:rPr>
        <w:t>PMW</w:t>
      </w:r>
      <w:r w:rsidR="00642140" w:rsidRPr="00017B78">
        <w:rPr>
          <w:rFonts w:ascii="Arial" w:hAnsi="Arial" w:cs="Arial"/>
          <w:b/>
          <w:color w:val="010000"/>
          <w:sz w:val="20"/>
        </w:rPr>
        <w:t>:</w:t>
      </w:r>
      <w:r w:rsidRPr="00017B78">
        <w:rPr>
          <w:rFonts w:ascii="Arial" w:hAnsi="Arial" w:cs="Arial"/>
          <w:b/>
          <w:color w:val="010000"/>
          <w:sz w:val="20"/>
        </w:rPr>
        <w:t xml:space="preserve"> Annual General Mandate</w:t>
      </w:r>
      <w:r w:rsidR="00E55D0B">
        <w:rPr>
          <w:rFonts w:ascii="Arial" w:hAnsi="Arial" w:cs="Arial"/>
          <w:b/>
          <w:color w:val="010000"/>
          <w:sz w:val="20"/>
        </w:rPr>
        <w:t xml:space="preserve"> 2024</w:t>
      </w:r>
    </w:p>
    <w:p w14:paraId="218FBC96" w14:textId="77777777" w:rsidR="00F66251" w:rsidRPr="00017B78" w:rsidRDefault="00B22A64" w:rsidP="00A77AC9">
      <w:pPr>
        <w:pBdr>
          <w:top w:val="nil"/>
          <w:left w:val="nil"/>
          <w:bottom w:val="nil"/>
          <w:right w:val="nil"/>
          <w:between w:val="nil"/>
        </w:pBdr>
        <w:tabs>
          <w:tab w:val="left" w:pos="72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7B78">
        <w:rPr>
          <w:rFonts w:ascii="Arial" w:hAnsi="Arial" w:cs="Arial"/>
          <w:color w:val="010000"/>
          <w:sz w:val="20"/>
        </w:rPr>
        <w:t>On April 05, 2024, Phu My Water Supply Joint Stock Company announced General Mandate No. 01/NQ-DHDCD as follows:</w:t>
      </w:r>
    </w:p>
    <w:p w14:paraId="22429B8A" w14:textId="166FB518" w:rsidR="00F66251" w:rsidRPr="00017B78" w:rsidRDefault="00B22A64" w:rsidP="00A77A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7B78">
        <w:rPr>
          <w:rFonts w:ascii="Arial" w:hAnsi="Arial" w:cs="Arial"/>
          <w:color w:val="010000"/>
          <w:sz w:val="20"/>
        </w:rPr>
        <w:t>Article 1: Approve the Report on the activities of the Board of Directors, the production and business results in 2023, the production and business plan for 2024; the status of using capital obtained from the private placement in 2023 to implement project: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7"/>
        <w:gridCol w:w="2712"/>
        <w:gridCol w:w="1179"/>
        <w:gridCol w:w="1484"/>
        <w:gridCol w:w="1475"/>
        <w:gridCol w:w="1360"/>
      </w:tblGrid>
      <w:tr w:rsidR="00F66251" w:rsidRPr="00017B78" w14:paraId="7F06D460" w14:textId="77777777" w:rsidTr="00A77AC9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5B6D3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3B79D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7B85B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86F58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Results in</w:t>
            </w:r>
          </w:p>
          <w:p w14:paraId="66447F93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F06F0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Plan for</w:t>
            </w:r>
          </w:p>
          <w:p w14:paraId="431A0B8A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3C7DB" w14:textId="5AC639AE" w:rsidR="00F66251" w:rsidRPr="00017B78" w:rsidRDefault="00642140" w:rsidP="00642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 xml:space="preserve">Rate </w:t>
            </w:r>
            <w:r w:rsidR="00B22A64" w:rsidRPr="00017B78">
              <w:rPr>
                <w:rFonts w:ascii="Arial" w:hAnsi="Arial" w:cs="Arial"/>
                <w:color w:val="010000"/>
                <w:sz w:val="20"/>
              </w:rPr>
              <w:t>2024/2023</w:t>
            </w:r>
            <w:r w:rsidRPr="00017B78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</w:tr>
      <w:tr w:rsidR="00F66251" w:rsidRPr="00017B78" w14:paraId="5D5D92D4" w14:textId="77777777" w:rsidTr="00A77AC9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E7371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F8698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Distributed water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B7F89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m3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89098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31,061,197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011A8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30,180,800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20604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97.17%</w:t>
            </w:r>
          </w:p>
        </w:tc>
      </w:tr>
      <w:tr w:rsidR="00F66251" w:rsidRPr="00017B78" w14:paraId="7C5F7F99" w14:textId="77777777" w:rsidTr="00A77AC9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6C4E0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BBADC" w14:textId="75F4A59B" w:rsidR="00F66251" w:rsidRPr="00017B78" w:rsidRDefault="00642140" w:rsidP="00642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Water for production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C82EE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m3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7CBC9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6,550,038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1CA5E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6,515,400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D44A7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99.47%</w:t>
            </w:r>
          </w:p>
        </w:tc>
      </w:tr>
      <w:tr w:rsidR="00F66251" w:rsidRPr="00017B78" w14:paraId="208D1ECD" w14:textId="77777777" w:rsidTr="00A77AC9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F14FA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4B986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Commercial water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E2983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m3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B6CA4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30,390,312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3B88E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29,284,000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BE56C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96.36%</w:t>
            </w:r>
          </w:p>
        </w:tc>
      </w:tr>
      <w:tr w:rsidR="00F66251" w:rsidRPr="00017B78" w14:paraId="74A7EDF4" w14:textId="77777777" w:rsidTr="00A77AC9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36BA6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59C98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52C2A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C22E6" w14:textId="640AB1BE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381</w:t>
            </w:r>
            <w:r w:rsidR="00642140" w:rsidRPr="00017B78">
              <w:rPr>
                <w:rFonts w:ascii="Arial" w:hAnsi="Arial" w:cs="Arial"/>
                <w:color w:val="010000"/>
                <w:sz w:val="20"/>
              </w:rPr>
              <w:t>,</w:t>
            </w:r>
            <w:r w:rsidRPr="00017B78">
              <w:rPr>
                <w:rFonts w:ascii="Arial" w:hAnsi="Arial" w:cs="Arial"/>
                <w:color w:val="010000"/>
                <w:sz w:val="20"/>
              </w:rPr>
              <w:t>470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38AA7" w14:textId="060C7229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389</w:t>
            </w:r>
            <w:r w:rsidR="00642140" w:rsidRPr="00017B78">
              <w:rPr>
                <w:rFonts w:ascii="Arial" w:hAnsi="Arial" w:cs="Arial"/>
                <w:color w:val="010000"/>
                <w:sz w:val="20"/>
              </w:rPr>
              <w:t>,</w:t>
            </w:r>
            <w:r w:rsidRPr="00017B78">
              <w:rPr>
                <w:rFonts w:ascii="Arial" w:hAnsi="Arial" w:cs="Arial"/>
                <w:color w:val="010000"/>
                <w:sz w:val="20"/>
              </w:rPr>
              <w:t>272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AEBE0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102.05%</w:t>
            </w:r>
          </w:p>
        </w:tc>
      </w:tr>
      <w:tr w:rsidR="00F66251" w:rsidRPr="00017B78" w14:paraId="42363425" w14:textId="77777777" w:rsidTr="00A77AC9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093F6" w14:textId="77777777" w:rsidR="00F66251" w:rsidRPr="00017B78" w:rsidRDefault="00B22A64" w:rsidP="00A77AC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93AFB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 xml:space="preserve">Revenue from water 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87744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43B81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340,900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B887F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352,872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058AA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103.51%</w:t>
            </w:r>
          </w:p>
        </w:tc>
      </w:tr>
      <w:tr w:rsidR="00F66251" w:rsidRPr="00017B78" w14:paraId="02A0E51F" w14:textId="77777777" w:rsidTr="00A77AC9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B46BC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56539" w14:textId="69E495BD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 xml:space="preserve">Financial </w:t>
            </w:r>
            <w:r w:rsidR="00642140" w:rsidRPr="00017B78">
              <w:rPr>
                <w:rFonts w:ascii="Arial" w:hAnsi="Arial" w:cs="Arial"/>
                <w:color w:val="010000"/>
                <w:sz w:val="20"/>
              </w:rPr>
              <w:t xml:space="preserve">revenue </w:t>
            </w:r>
            <w:r w:rsidRPr="00017B78">
              <w:rPr>
                <w:rFonts w:ascii="Arial" w:hAnsi="Arial" w:cs="Arial"/>
                <w:color w:val="010000"/>
                <w:sz w:val="20"/>
              </w:rPr>
              <w:t>+ other revenue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92E1E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B4331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40,570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D5FE1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36,400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4139A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89.72%</w:t>
            </w:r>
          </w:p>
        </w:tc>
      </w:tr>
      <w:tr w:rsidR="00F66251" w:rsidRPr="00017B78" w14:paraId="268A105C" w14:textId="77777777" w:rsidTr="00A77AC9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2987F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12FDC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Total expense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5CEBC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8C488" w14:textId="562D7EB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275</w:t>
            </w:r>
            <w:r w:rsidR="00642140" w:rsidRPr="00017B78">
              <w:rPr>
                <w:rFonts w:ascii="Arial" w:hAnsi="Arial" w:cs="Arial"/>
                <w:color w:val="010000"/>
                <w:sz w:val="20"/>
              </w:rPr>
              <w:t>,</w:t>
            </w:r>
            <w:r w:rsidRPr="00017B78">
              <w:rPr>
                <w:rFonts w:ascii="Arial" w:hAnsi="Arial" w:cs="Arial"/>
                <w:color w:val="010000"/>
                <w:sz w:val="20"/>
              </w:rPr>
              <w:t>497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8851F" w14:textId="56F63602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279</w:t>
            </w:r>
            <w:r w:rsidR="00642140" w:rsidRPr="00017B78">
              <w:rPr>
                <w:rFonts w:ascii="Arial" w:hAnsi="Arial" w:cs="Arial"/>
                <w:color w:val="010000"/>
                <w:sz w:val="20"/>
              </w:rPr>
              <w:t>,</w:t>
            </w:r>
            <w:r w:rsidRPr="00017B78">
              <w:rPr>
                <w:rFonts w:ascii="Arial" w:hAnsi="Arial" w:cs="Arial"/>
                <w:color w:val="010000"/>
                <w:sz w:val="20"/>
              </w:rPr>
              <w:t>934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7EFE0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101.61%</w:t>
            </w:r>
          </w:p>
        </w:tc>
      </w:tr>
      <w:tr w:rsidR="00F66251" w:rsidRPr="00017B78" w14:paraId="2580DBFB" w14:textId="77777777" w:rsidTr="00A77AC9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264CD" w14:textId="77777777" w:rsidR="00F66251" w:rsidRPr="00017B78" w:rsidRDefault="00B22A64" w:rsidP="00A77AC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1DBFA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Water production expense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0AE96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65CC6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273,027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1FF2E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278,384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76D17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101.96%</w:t>
            </w:r>
          </w:p>
        </w:tc>
      </w:tr>
      <w:tr w:rsidR="00F66251" w:rsidRPr="00017B78" w14:paraId="30480D0F" w14:textId="77777777" w:rsidTr="00A77AC9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3F0BE" w14:textId="77777777" w:rsidR="00F66251" w:rsidRPr="00017B78" w:rsidRDefault="00B22A64" w:rsidP="00A77AC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78A94" w14:textId="70CC60AD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Financial</w:t>
            </w:r>
            <w:r w:rsidR="00642140" w:rsidRPr="00017B78">
              <w:rPr>
                <w:rFonts w:ascii="Arial" w:hAnsi="Arial" w:cs="Arial"/>
                <w:color w:val="010000"/>
                <w:sz w:val="20"/>
              </w:rPr>
              <w:t xml:space="preserve"> expense</w:t>
            </w:r>
            <w:r w:rsidRPr="00017B78">
              <w:rPr>
                <w:rFonts w:ascii="Arial" w:hAnsi="Arial" w:cs="Arial"/>
                <w:color w:val="010000"/>
                <w:sz w:val="20"/>
              </w:rPr>
              <w:t xml:space="preserve"> + other expenses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C3CA2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F1035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2,470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D96BF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1,550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D00E4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62.76%</w:t>
            </w:r>
          </w:p>
        </w:tc>
      </w:tr>
      <w:tr w:rsidR="00F66251" w:rsidRPr="00017B78" w14:paraId="18A4FBD3" w14:textId="77777777" w:rsidTr="00A77AC9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9D74F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5C9E3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F01A6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F24A1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8,974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D20D6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8,134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17E3E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90.64%</w:t>
            </w:r>
          </w:p>
        </w:tc>
      </w:tr>
      <w:tr w:rsidR="00F66251" w:rsidRPr="00017B78" w14:paraId="2BDACD52" w14:textId="77777777" w:rsidTr="00A77AC9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D8554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0996A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A76AA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714AC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96,999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0FE2D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101,204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3C934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104.33%</w:t>
            </w:r>
          </w:p>
        </w:tc>
      </w:tr>
    </w:tbl>
    <w:p w14:paraId="04039F2E" w14:textId="50DB12F0" w:rsidR="00F66251" w:rsidRPr="00017B78" w:rsidRDefault="00B22A64" w:rsidP="00A77A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7B78">
        <w:rPr>
          <w:rFonts w:ascii="Arial" w:hAnsi="Arial" w:cs="Arial"/>
          <w:color w:val="010000"/>
          <w:sz w:val="20"/>
        </w:rPr>
        <w:t>Article 2: Approv</w:t>
      </w:r>
      <w:r w:rsidR="00642140" w:rsidRPr="00017B78">
        <w:rPr>
          <w:rFonts w:ascii="Arial" w:hAnsi="Arial" w:cs="Arial"/>
          <w:color w:val="010000"/>
          <w:sz w:val="20"/>
        </w:rPr>
        <w:t>e</w:t>
      </w:r>
      <w:r w:rsidRPr="00017B78">
        <w:rPr>
          <w:rFonts w:ascii="Arial" w:hAnsi="Arial" w:cs="Arial"/>
          <w:color w:val="010000"/>
          <w:sz w:val="20"/>
        </w:rPr>
        <w:t xml:space="preserve"> the Audited Financial Statement</w:t>
      </w:r>
      <w:r w:rsidR="00642140" w:rsidRPr="00017B78">
        <w:rPr>
          <w:rFonts w:ascii="Arial" w:hAnsi="Arial" w:cs="Arial"/>
          <w:color w:val="010000"/>
          <w:sz w:val="20"/>
        </w:rPr>
        <w:t>s</w:t>
      </w:r>
      <w:r w:rsidRPr="00017B78">
        <w:rPr>
          <w:rFonts w:ascii="Arial" w:hAnsi="Arial" w:cs="Arial"/>
          <w:color w:val="010000"/>
          <w:sz w:val="20"/>
        </w:rPr>
        <w:t xml:space="preserve"> 2023 as per Proposal No. 01/TTr-HDQT; approve the profit distribution and dividend payment plan in 2023 and the profit distribution plan for 2024 as per Proposal No. 02/TTr-HDQT:</w:t>
      </w:r>
    </w:p>
    <w:p w14:paraId="19FE59C4" w14:textId="6120ACF4" w:rsidR="00F66251" w:rsidRPr="00017B78" w:rsidRDefault="00B22A64" w:rsidP="00A77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17B78">
        <w:rPr>
          <w:rFonts w:ascii="Arial" w:hAnsi="Arial" w:cs="Arial"/>
          <w:color w:val="010000"/>
          <w:sz w:val="20"/>
        </w:rPr>
        <w:t>The Financial Statements 2023</w:t>
      </w:r>
      <w:r w:rsidR="00642140" w:rsidRPr="00017B78">
        <w:rPr>
          <w:rFonts w:ascii="Arial" w:hAnsi="Arial" w:cs="Arial"/>
          <w:color w:val="010000"/>
          <w:sz w:val="20"/>
        </w:rPr>
        <w:t>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0"/>
        <w:gridCol w:w="3232"/>
        <w:gridCol w:w="1457"/>
        <w:gridCol w:w="1766"/>
        <w:gridCol w:w="1782"/>
      </w:tblGrid>
      <w:tr w:rsidR="00F66251" w:rsidRPr="00017B78" w14:paraId="5D26ACFF" w14:textId="77777777" w:rsidTr="00A77AC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67491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2B9A3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88FB0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D14E0" w14:textId="5E7B07D4" w:rsidR="00F66251" w:rsidRPr="00017B78" w:rsidRDefault="00B22A64" w:rsidP="00642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 xml:space="preserve">Closing </w:t>
            </w:r>
            <w:r w:rsidR="00642140" w:rsidRPr="00017B78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6A939" w14:textId="0A30CD58" w:rsidR="00F66251" w:rsidRPr="00017B78" w:rsidRDefault="00B22A64" w:rsidP="00642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 xml:space="preserve">Opening </w:t>
            </w:r>
            <w:r w:rsidR="00642140" w:rsidRPr="00017B78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F66251" w:rsidRPr="00017B78" w14:paraId="60387C12" w14:textId="77777777" w:rsidTr="00A77AC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7A2CE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D8F75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Total assets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52E15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5A669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659,433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DC842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644,416</w:t>
            </w:r>
          </w:p>
        </w:tc>
      </w:tr>
      <w:tr w:rsidR="00F66251" w:rsidRPr="00017B78" w14:paraId="76A54402" w14:textId="77777777" w:rsidTr="00A77AC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CA530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A1CCD" w14:textId="0BE41B25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Short-term assets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F896A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”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7700A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91,588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202E2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101,707</w:t>
            </w:r>
          </w:p>
        </w:tc>
      </w:tr>
      <w:tr w:rsidR="00F66251" w:rsidRPr="00017B78" w14:paraId="3776404B" w14:textId="77777777" w:rsidTr="00A77AC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EEB80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D6CBC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Long-term assets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13CF7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CB34F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567,845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7C6E5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542,708</w:t>
            </w:r>
          </w:p>
        </w:tc>
      </w:tr>
      <w:tr w:rsidR="00F66251" w:rsidRPr="00017B78" w14:paraId="22B98DDF" w14:textId="77777777" w:rsidTr="00A77AC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D55E3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4BABC" w14:textId="5445880B" w:rsidR="00F66251" w:rsidRPr="00017B78" w:rsidRDefault="00642140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Total</w:t>
            </w:r>
            <w:r w:rsidR="00B22A64" w:rsidRPr="00017B78">
              <w:rPr>
                <w:rFonts w:ascii="Arial" w:hAnsi="Arial" w:cs="Arial"/>
                <w:color w:val="010000"/>
                <w:sz w:val="20"/>
              </w:rPr>
              <w:t xml:space="preserve"> sources 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C8CE5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61BC9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659,433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4CBC2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569,015</w:t>
            </w:r>
          </w:p>
        </w:tc>
      </w:tr>
      <w:tr w:rsidR="00F66251" w:rsidRPr="00017B78" w14:paraId="0560A1F6" w14:textId="77777777" w:rsidTr="00A77AC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466EC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D4D71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Payables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0BC80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C22D0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74,290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054C3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69,397</w:t>
            </w:r>
          </w:p>
        </w:tc>
      </w:tr>
      <w:tr w:rsidR="00F66251" w:rsidRPr="00017B78" w14:paraId="5494F508" w14:textId="77777777" w:rsidTr="00A77AC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1FF61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F221B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Owners’ equity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C0E92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7C9B0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585,143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125D3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575,019</w:t>
            </w:r>
          </w:p>
        </w:tc>
      </w:tr>
    </w:tbl>
    <w:p w14:paraId="5AA00E6B" w14:textId="77777777" w:rsidR="00642140" w:rsidRPr="00017B78" w:rsidRDefault="00642140" w:rsidP="00A77AC9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  <w:tab w:val="left" w:pos="4027"/>
          <w:tab w:val="left" w:pos="5484"/>
          <w:tab w:val="left" w:pos="7250"/>
        </w:tabs>
        <w:spacing w:after="120" w:line="360" w:lineRule="auto"/>
        <w:ind w:left="15"/>
        <w:rPr>
          <w:rFonts w:ascii="Arial" w:hAnsi="Arial" w:cs="Arial"/>
          <w:color w:val="010000"/>
          <w:sz w:val="20"/>
        </w:rPr>
      </w:pPr>
      <w:r w:rsidRPr="00017B78">
        <w:rPr>
          <w:rFonts w:ascii="Arial" w:hAnsi="Arial" w:cs="Arial"/>
          <w:color w:val="010000"/>
          <w:sz w:val="20"/>
        </w:rPr>
        <w:tab/>
      </w:r>
      <w:r w:rsidRPr="00017B78">
        <w:rPr>
          <w:rFonts w:ascii="Arial" w:hAnsi="Arial" w:cs="Arial"/>
          <w:color w:val="010000"/>
          <w:sz w:val="20"/>
        </w:rPr>
        <w:tab/>
      </w:r>
      <w:r w:rsidRPr="00017B78">
        <w:rPr>
          <w:rFonts w:ascii="Arial" w:hAnsi="Arial" w:cs="Arial"/>
          <w:color w:val="010000"/>
          <w:sz w:val="20"/>
        </w:rPr>
        <w:tab/>
      </w:r>
      <w:r w:rsidRPr="00017B78">
        <w:rPr>
          <w:rFonts w:ascii="Arial" w:hAnsi="Arial" w:cs="Arial"/>
          <w:color w:val="010000"/>
          <w:sz w:val="20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3"/>
        <w:gridCol w:w="3205"/>
        <w:gridCol w:w="1470"/>
        <w:gridCol w:w="1744"/>
        <w:gridCol w:w="1785"/>
      </w:tblGrid>
      <w:tr w:rsidR="00642140" w:rsidRPr="00017B78" w14:paraId="1FCA3186" w14:textId="77777777" w:rsidTr="0064214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D7A0D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01067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2046D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0AE9B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This year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71E17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Last year</w:t>
            </w:r>
          </w:p>
        </w:tc>
      </w:tr>
      <w:tr w:rsidR="00642140" w:rsidRPr="00017B78" w14:paraId="2799CDBD" w14:textId="77777777" w:rsidTr="0064214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A9B00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9271E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E74C1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1D533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381,470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CCB24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365,805</w:t>
            </w:r>
          </w:p>
        </w:tc>
      </w:tr>
      <w:tr w:rsidR="00642140" w:rsidRPr="00017B78" w14:paraId="322420F4" w14:textId="77777777" w:rsidTr="0064214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6A533" w14:textId="77777777" w:rsidR="00642140" w:rsidRPr="00017B78" w:rsidRDefault="00642140" w:rsidP="008D521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C71B1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 xml:space="preserve">Revenue from producing water 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256CF" w14:textId="77777777" w:rsidR="00642140" w:rsidRPr="00017B78" w:rsidRDefault="00642140" w:rsidP="008D521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93649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340,900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48EBA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344,105</w:t>
            </w:r>
          </w:p>
        </w:tc>
      </w:tr>
      <w:tr w:rsidR="00642140" w:rsidRPr="00017B78" w14:paraId="692FB9BC" w14:textId="77777777" w:rsidTr="0064214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11100" w14:textId="77777777" w:rsidR="00642140" w:rsidRPr="00017B78" w:rsidRDefault="00642140" w:rsidP="008D521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5F71B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Financial + other revenue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592F0" w14:textId="77777777" w:rsidR="00642140" w:rsidRPr="00017B78" w:rsidRDefault="00642140" w:rsidP="008D521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2C9A5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40,570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E8B38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21,700</w:t>
            </w:r>
          </w:p>
        </w:tc>
      </w:tr>
      <w:tr w:rsidR="00642140" w:rsidRPr="00017B78" w14:paraId="376FFE83" w14:textId="77777777" w:rsidTr="0064214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54BB1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5C2CE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Total expense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F3C31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4F83F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275,497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45790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280,909</w:t>
            </w:r>
          </w:p>
        </w:tc>
      </w:tr>
      <w:tr w:rsidR="00642140" w:rsidRPr="00017B78" w14:paraId="0983BAC7" w14:textId="77777777" w:rsidTr="0064214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3C134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7CB04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46491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3024B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105,973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BB536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84,897</w:t>
            </w:r>
          </w:p>
        </w:tc>
      </w:tr>
      <w:tr w:rsidR="00642140" w:rsidRPr="00017B78" w14:paraId="7C435CA0" w14:textId="77777777" w:rsidTr="0064214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115F9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4B558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DBA2C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C1595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8,974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4C8AC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6,618</w:t>
            </w:r>
          </w:p>
        </w:tc>
      </w:tr>
      <w:tr w:rsidR="00642140" w:rsidRPr="00017B78" w14:paraId="01DFC995" w14:textId="77777777" w:rsidTr="0064214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566C7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4B57C" w14:textId="606ABCB4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Total profit after tax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3440A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6265A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96,999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A01B2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78,279</w:t>
            </w:r>
          </w:p>
        </w:tc>
      </w:tr>
      <w:tr w:rsidR="00642140" w:rsidRPr="00017B78" w14:paraId="770F4682" w14:textId="77777777" w:rsidTr="00642140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50A49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84BFE" w14:textId="060D236F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Basic earning per share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825F5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51B2C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1,740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0216E" w14:textId="77777777" w:rsidR="00642140" w:rsidRPr="00017B78" w:rsidRDefault="00642140" w:rsidP="008D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1,709</w:t>
            </w:r>
          </w:p>
        </w:tc>
      </w:tr>
    </w:tbl>
    <w:p w14:paraId="4FBE7E6B" w14:textId="56912BBF" w:rsidR="00F66251" w:rsidRPr="00017B78" w:rsidRDefault="00642140" w:rsidP="00A77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17B78">
        <w:rPr>
          <w:rFonts w:ascii="Arial" w:hAnsi="Arial" w:cs="Arial"/>
          <w:color w:val="010000"/>
          <w:sz w:val="20"/>
        </w:rPr>
        <w:t xml:space="preserve"> </w:t>
      </w:r>
      <w:r w:rsidR="00B22A64" w:rsidRPr="00017B78">
        <w:rPr>
          <w:rFonts w:ascii="Arial" w:hAnsi="Arial" w:cs="Arial"/>
          <w:color w:val="010000"/>
          <w:sz w:val="20"/>
        </w:rPr>
        <w:t>Plan on profit distribution and dividend payment in 2023:</w:t>
      </w:r>
    </w:p>
    <w:p w14:paraId="5A04A3EA" w14:textId="77777777" w:rsidR="00F66251" w:rsidRPr="00017B78" w:rsidRDefault="00B22A64" w:rsidP="00A77A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7B78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7"/>
        <w:gridCol w:w="5818"/>
        <w:gridCol w:w="1206"/>
        <w:gridCol w:w="1226"/>
      </w:tblGrid>
      <w:tr w:rsidR="00F66251" w:rsidRPr="00017B78" w14:paraId="55FB7D60" w14:textId="77777777" w:rsidTr="00A77AC9">
        <w:tc>
          <w:tcPr>
            <w:tcW w:w="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12810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AE8C5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0AA40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Rate %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04D8A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F66251" w:rsidRPr="00017B78" w14:paraId="78FAAC03" w14:textId="77777777" w:rsidTr="00A77AC9">
        <w:tc>
          <w:tcPr>
            <w:tcW w:w="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5A857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7CAA0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Profit after tax for distribution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53EBB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46746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96,999</w:t>
            </w:r>
          </w:p>
        </w:tc>
      </w:tr>
      <w:tr w:rsidR="00F66251" w:rsidRPr="00017B78" w14:paraId="18BB2BE0" w14:textId="77777777" w:rsidTr="00A77AC9">
        <w:tc>
          <w:tcPr>
            <w:tcW w:w="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5E926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E2C99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Appropriation for Investment and Development fund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1C299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33954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2,919</w:t>
            </w:r>
          </w:p>
        </w:tc>
      </w:tr>
      <w:tr w:rsidR="00F66251" w:rsidRPr="00017B78" w14:paraId="2C772311" w14:textId="77777777" w:rsidTr="00A77AC9">
        <w:tc>
          <w:tcPr>
            <w:tcW w:w="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EFA7A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C0CD0" w14:textId="17A4C324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 xml:space="preserve">Appropriation for the </w:t>
            </w:r>
            <w:r w:rsidR="00017B78" w:rsidRPr="00017B78">
              <w:rPr>
                <w:rFonts w:ascii="Arial" w:hAnsi="Arial" w:cs="Arial"/>
                <w:color w:val="010000"/>
                <w:sz w:val="20"/>
              </w:rPr>
              <w:t xml:space="preserve">bonus and welfare </w:t>
            </w:r>
            <w:r w:rsidRPr="00017B78">
              <w:rPr>
                <w:rFonts w:ascii="Arial" w:hAnsi="Arial" w:cs="Arial"/>
                <w:color w:val="010000"/>
                <w:sz w:val="20"/>
              </w:rPr>
              <w:t>fund, in which:</w:t>
            </w:r>
          </w:p>
          <w:p w14:paraId="33F45005" w14:textId="77777777" w:rsidR="00F66251" w:rsidRPr="00017B78" w:rsidRDefault="00B22A64" w:rsidP="00A77A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Bonus fund for the employees of the Company;</w:t>
            </w:r>
          </w:p>
          <w:p w14:paraId="3EAE9C18" w14:textId="77777777" w:rsidR="00F66251" w:rsidRPr="00017B78" w:rsidRDefault="00B22A64" w:rsidP="00A77A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Bonus fund for the Executive Management Board;</w:t>
            </w:r>
          </w:p>
          <w:p w14:paraId="4BA71B1C" w14:textId="72C88739" w:rsidR="00F66251" w:rsidRPr="00017B78" w:rsidRDefault="00B22A64" w:rsidP="00A77A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2"/>
                <w:tab w:val="left" w:pos="526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Welfare fund</w:t>
            </w:r>
            <w:r w:rsidR="00017B78" w:rsidRPr="00017B78">
              <w:rPr>
                <w:rFonts w:ascii="Arial" w:hAnsi="Arial" w:cs="Arial"/>
                <w:color w:val="010000"/>
                <w:sz w:val="20"/>
              </w:rPr>
              <w:t>;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7EB91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5172E" w14:textId="77777777" w:rsidR="00F66251" w:rsidRPr="00017B78" w:rsidRDefault="00B22A64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11,675</w:t>
            </w:r>
          </w:p>
        </w:tc>
      </w:tr>
      <w:tr w:rsidR="00017B78" w:rsidRPr="00017B78" w14:paraId="66E97CC6" w14:textId="77777777" w:rsidTr="00A77AC9">
        <w:tc>
          <w:tcPr>
            <w:tcW w:w="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7BB95" w14:textId="64FCA02C" w:rsidR="00017B78" w:rsidRPr="00017B78" w:rsidRDefault="00017B78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41745" w14:textId="1060B422" w:rsidR="00017B78" w:rsidRPr="00017B78" w:rsidRDefault="00017B78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Expected dividend payment in cash (16% of charter capital)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DB199" w14:textId="23349711" w:rsidR="00017B78" w:rsidRPr="00017B78" w:rsidRDefault="00017B78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82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2F40C" w14:textId="1FCECABA" w:rsidR="00017B78" w:rsidRPr="00017B78" w:rsidRDefault="00017B78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80,000</w:t>
            </w:r>
          </w:p>
        </w:tc>
      </w:tr>
      <w:tr w:rsidR="00017B78" w:rsidRPr="00017B78" w14:paraId="2FA4FF2E" w14:textId="77777777" w:rsidTr="00A77AC9">
        <w:tc>
          <w:tcPr>
            <w:tcW w:w="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139F8" w14:textId="67DE655F" w:rsidR="00017B78" w:rsidRPr="00017B78" w:rsidRDefault="00017B78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9A0E2" w14:textId="67736B13" w:rsidR="00017B78" w:rsidRPr="00017B78" w:rsidRDefault="00017B78" w:rsidP="00017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Retained profit (undistributed profit)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DC402" w14:textId="51DF93B0" w:rsidR="00017B78" w:rsidRPr="00017B78" w:rsidRDefault="00017B78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56CA0" w14:textId="26B0ADB3" w:rsidR="00017B78" w:rsidRPr="00017B78" w:rsidRDefault="00017B78" w:rsidP="00A7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17B78">
              <w:rPr>
                <w:rFonts w:ascii="Arial" w:hAnsi="Arial" w:cs="Arial"/>
                <w:color w:val="010000"/>
                <w:sz w:val="20"/>
              </w:rPr>
              <w:t>2,405</w:t>
            </w:r>
          </w:p>
        </w:tc>
      </w:tr>
    </w:tbl>
    <w:p w14:paraId="71891778" w14:textId="77777777" w:rsidR="00F66251" w:rsidRPr="00017B78" w:rsidRDefault="00B22A64" w:rsidP="00A77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17B78">
        <w:rPr>
          <w:rFonts w:ascii="Arial" w:hAnsi="Arial" w:cs="Arial"/>
          <w:color w:val="010000"/>
          <w:sz w:val="20"/>
        </w:rPr>
        <w:t>Plan on profit distribution for 2024:</w:t>
      </w:r>
    </w:p>
    <w:p w14:paraId="33563DB2" w14:textId="131A2325" w:rsidR="00F66251" w:rsidRPr="00017B78" w:rsidRDefault="00B22A64" w:rsidP="00A77A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7B78">
        <w:rPr>
          <w:rFonts w:ascii="Arial" w:hAnsi="Arial" w:cs="Arial"/>
          <w:color w:val="010000"/>
          <w:sz w:val="20"/>
        </w:rPr>
        <w:t xml:space="preserve">Appropriation for </w:t>
      </w:r>
      <w:r w:rsidR="00017B78" w:rsidRPr="00017B78">
        <w:rPr>
          <w:rFonts w:ascii="Arial" w:hAnsi="Arial" w:cs="Arial"/>
          <w:color w:val="010000"/>
          <w:sz w:val="20"/>
        </w:rPr>
        <w:t xml:space="preserve">investment and development </w:t>
      </w:r>
      <w:r w:rsidRPr="00017B78">
        <w:rPr>
          <w:rFonts w:ascii="Arial" w:hAnsi="Arial" w:cs="Arial"/>
          <w:color w:val="010000"/>
          <w:sz w:val="20"/>
        </w:rPr>
        <w:t>fund</w:t>
      </w:r>
      <w:r w:rsidR="00A77AC9" w:rsidRPr="00017B78">
        <w:rPr>
          <w:rFonts w:ascii="Arial" w:hAnsi="Arial" w:cs="Arial"/>
          <w:color w:val="010000"/>
          <w:sz w:val="20"/>
        </w:rPr>
        <w:t xml:space="preserve"> </w:t>
      </w:r>
      <w:r w:rsidRPr="00017B78">
        <w:rPr>
          <w:rFonts w:ascii="Arial" w:hAnsi="Arial" w:cs="Arial"/>
          <w:color w:val="010000"/>
          <w:sz w:val="20"/>
        </w:rPr>
        <w:t xml:space="preserve">with the rate of 3% of </w:t>
      </w:r>
      <w:r w:rsidR="00017B78" w:rsidRPr="00017B78">
        <w:rPr>
          <w:rFonts w:ascii="Arial" w:hAnsi="Arial" w:cs="Arial"/>
          <w:color w:val="010000"/>
          <w:sz w:val="20"/>
        </w:rPr>
        <w:t>profit after tax</w:t>
      </w:r>
    </w:p>
    <w:p w14:paraId="0E89AD1C" w14:textId="0D27B825" w:rsidR="00F66251" w:rsidRPr="00017B78" w:rsidRDefault="00B22A64" w:rsidP="00A77A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7B78">
        <w:rPr>
          <w:rFonts w:ascii="Arial" w:hAnsi="Arial" w:cs="Arial"/>
          <w:color w:val="010000"/>
          <w:sz w:val="20"/>
        </w:rPr>
        <w:t xml:space="preserve">Appropriation for </w:t>
      </w:r>
      <w:r w:rsidR="00017B78" w:rsidRPr="00017B78">
        <w:rPr>
          <w:rFonts w:ascii="Arial" w:hAnsi="Arial" w:cs="Arial"/>
          <w:color w:val="010000"/>
          <w:sz w:val="20"/>
        </w:rPr>
        <w:t xml:space="preserve">bonus and welfare fund </w:t>
      </w:r>
      <w:r w:rsidRPr="00017B78">
        <w:rPr>
          <w:rFonts w:ascii="Arial" w:hAnsi="Arial" w:cs="Arial"/>
          <w:color w:val="010000"/>
          <w:sz w:val="20"/>
        </w:rPr>
        <w:t>with the rate of 12</w:t>
      </w:r>
      <w:r w:rsidR="00017B78" w:rsidRPr="00017B78">
        <w:rPr>
          <w:rFonts w:ascii="Arial" w:hAnsi="Arial" w:cs="Arial"/>
          <w:color w:val="010000"/>
          <w:sz w:val="20"/>
        </w:rPr>
        <w:t>% of profit after tax</w:t>
      </w:r>
    </w:p>
    <w:p w14:paraId="52C2BDAC" w14:textId="13515AF6" w:rsidR="00F66251" w:rsidRPr="00017B78" w:rsidRDefault="00B22A64" w:rsidP="00A77A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7B78">
        <w:rPr>
          <w:rFonts w:ascii="Arial" w:hAnsi="Arial" w:cs="Arial"/>
          <w:color w:val="010000"/>
          <w:sz w:val="20"/>
        </w:rPr>
        <w:t>Dividend payment with the rate of no less than 15</w:t>
      </w:r>
      <w:r w:rsidR="00017B78" w:rsidRPr="00017B78">
        <w:rPr>
          <w:rFonts w:ascii="Arial" w:hAnsi="Arial" w:cs="Arial"/>
          <w:color w:val="010000"/>
          <w:sz w:val="20"/>
        </w:rPr>
        <w:t>% of the charter capital</w:t>
      </w:r>
    </w:p>
    <w:p w14:paraId="13F359A9" w14:textId="77777777" w:rsidR="00F66251" w:rsidRPr="00017B78" w:rsidRDefault="00B22A64" w:rsidP="00A77A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7B78">
        <w:rPr>
          <w:rFonts w:ascii="Arial" w:hAnsi="Arial" w:cs="Arial"/>
          <w:color w:val="010000"/>
          <w:sz w:val="20"/>
        </w:rPr>
        <w:t>Retained profit: Remaining profit after tax after the appropriation for funds and dividend payment.</w:t>
      </w:r>
    </w:p>
    <w:p w14:paraId="79C36AA1" w14:textId="42FC62EF" w:rsidR="00F66251" w:rsidRPr="00017B78" w:rsidRDefault="00B22A64" w:rsidP="00A77A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7B78">
        <w:rPr>
          <w:rFonts w:ascii="Arial" w:hAnsi="Arial" w:cs="Arial"/>
          <w:color w:val="010000"/>
          <w:sz w:val="20"/>
        </w:rPr>
        <w:t xml:space="preserve">Article 3: Approve the settlement of remuneration for members of the Board of Directors and the Supervisory Board in 2023 </w:t>
      </w:r>
      <w:r w:rsidR="00017B78" w:rsidRPr="00017B78">
        <w:rPr>
          <w:rFonts w:ascii="Arial" w:hAnsi="Arial" w:cs="Arial"/>
          <w:color w:val="010000"/>
          <w:sz w:val="20"/>
        </w:rPr>
        <w:t>in the amount of</w:t>
      </w:r>
      <w:r w:rsidRPr="00017B78">
        <w:rPr>
          <w:rFonts w:ascii="Arial" w:hAnsi="Arial" w:cs="Arial"/>
          <w:color w:val="010000"/>
          <w:sz w:val="20"/>
        </w:rPr>
        <w:t xml:space="preserve"> VND 1,220 million and approve the remuneration for members of the Board of Directors and the Supervisory Board in 2024 </w:t>
      </w:r>
      <w:r w:rsidR="00017B78" w:rsidRPr="00017B78">
        <w:rPr>
          <w:rFonts w:ascii="Arial" w:hAnsi="Arial" w:cs="Arial"/>
          <w:color w:val="010000"/>
          <w:sz w:val="20"/>
        </w:rPr>
        <w:t>in the amount of</w:t>
      </w:r>
      <w:r w:rsidRPr="00017B78">
        <w:rPr>
          <w:rFonts w:ascii="Arial" w:hAnsi="Arial" w:cs="Arial"/>
          <w:color w:val="010000"/>
          <w:sz w:val="20"/>
        </w:rPr>
        <w:t xml:space="preserve"> VND 1,240 </w:t>
      </w:r>
      <w:r w:rsidRPr="00017B78">
        <w:rPr>
          <w:rFonts w:ascii="Arial" w:hAnsi="Arial" w:cs="Arial"/>
          <w:color w:val="010000"/>
          <w:sz w:val="20"/>
        </w:rPr>
        <w:lastRenderedPageBreak/>
        <w:t>million.</w:t>
      </w:r>
    </w:p>
    <w:p w14:paraId="58DE9235" w14:textId="77777777" w:rsidR="00F66251" w:rsidRPr="00017B78" w:rsidRDefault="00B22A64" w:rsidP="00A77A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7B78">
        <w:rPr>
          <w:rFonts w:ascii="Arial" w:hAnsi="Arial" w:cs="Arial"/>
          <w:color w:val="010000"/>
          <w:sz w:val="20"/>
        </w:rPr>
        <w:t>Article 4: Approve the list of audit companies and authorize the Board of Directors to select the independent audit company to audit the Company's Financial Statements 2024.</w:t>
      </w:r>
    </w:p>
    <w:p w14:paraId="6D9BCE7F" w14:textId="04A5C1D0" w:rsidR="00F66251" w:rsidRPr="00017B78" w:rsidRDefault="00B22A64" w:rsidP="00A77A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7B78">
        <w:rPr>
          <w:rFonts w:ascii="Arial" w:hAnsi="Arial" w:cs="Arial"/>
          <w:color w:val="010000"/>
          <w:sz w:val="20"/>
        </w:rPr>
        <w:t>Article 5: Approve the Report of the Supe</w:t>
      </w:r>
      <w:r w:rsidR="00017B78" w:rsidRPr="00017B78">
        <w:rPr>
          <w:rFonts w:ascii="Arial" w:hAnsi="Arial" w:cs="Arial"/>
          <w:color w:val="010000"/>
          <w:sz w:val="20"/>
        </w:rPr>
        <w:t>rvisory Board on the operating</w:t>
      </w:r>
      <w:r w:rsidRPr="00017B78">
        <w:rPr>
          <w:rFonts w:ascii="Arial" w:hAnsi="Arial" w:cs="Arial"/>
          <w:color w:val="010000"/>
          <w:sz w:val="20"/>
        </w:rPr>
        <w:t xml:space="preserve"> status of the Company, the Board of Directors, the Board of </w:t>
      </w:r>
      <w:r w:rsidR="00017B78" w:rsidRPr="00017B78">
        <w:rPr>
          <w:rFonts w:ascii="Arial" w:hAnsi="Arial" w:cs="Arial"/>
          <w:color w:val="010000"/>
          <w:sz w:val="20"/>
        </w:rPr>
        <w:t>Managers</w:t>
      </w:r>
      <w:r w:rsidRPr="00017B78">
        <w:rPr>
          <w:rFonts w:ascii="Arial" w:hAnsi="Arial" w:cs="Arial"/>
          <w:color w:val="010000"/>
          <w:sz w:val="20"/>
        </w:rPr>
        <w:t>, and the Supervisory Board in 2023</w:t>
      </w:r>
      <w:r w:rsidR="00017B78" w:rsidRPr="00017B78">
        <w:rPr>
          <w:rFonts w:ascii="Arial" w:hAnsi="Arial" w:cs="Arial"/>
          <w:color w:val="010000"/>
          <w:sz w:val="20"/>
        </w:rPr>
        <w:t>; the operating</w:t>
      </w:r>
      <w:r w:rsidRPr="00017B78">
        <w:rPr>
          <w:rFonts w:ascii="Arial" w:hAnsi="Arial" w:cs="Arial"/>
          <w:color w:val="010000"/>
          <w:sz w:val="20"/>
        </w:rPr>
        <w:t xml:space="preserve"> plan for the Supervisory Board in 2024.</w:t>
      </w:r>
    </w:p>
    <w:p w14:paraId="0D4DD6C6" w14:textId="489FACD1" w:rsidR="00F66251" w:rsidRPr="00017B78" w:rsidRDefault="00B22A64" w:rsidP="00A77A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7B78">
        <w:rPr>
          <w:rFonts w:ascii="Arial" w:hAnsi="Arial" w:cs="Arial"/>
          <w:color w:val="010000"/>
          <w:sz w:val="20"/>
        </w:rPr>
        <w:t xml:space="preserve">Article 6: This General Mandate takes effect from April 5, 2024. The Board of Directors, the Supervisory Board, and the Board of </w:t>
      </w:r>
      <w:r w:rsidR="00017B78" w:rsidRPr="00017B78">
        <w:rPr>
          <w:rFonts w:ascii="Arial" w:hAnsi="Arial" w:cs="Arial"/>
          <w:color w:val="010000"/>
          <w:sz w:val="20"/>
        </w:rPr>
        <w:t>Managers</w:t>
      </w:r>
      <w:r w:rsidRPr="00017B78">
        <w:rPr>
          <w:rFonts w:ascii="Arial" w:hAnsi="Arial" w:cs="Arial"/>
          <w:color w:val="010000"/>
          <w:sz w:val="20"/>
        </w:rPr>
        <w:t xml:space="preserve"> are responsible for organizing and directing the Company to implement the contents of this General Mandate.</w:t>
      </w:r>
    </w:p>
    <w:p w14:paraId="7E352E7C" w14:textId="77777777" w:rsidR="00F66251" w:rsidRPr="00017B78" w:rsidRDefault="00B22A64" w:rsidP="00A77A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17B78">
        <w:rPr>
          <w:rFonts w:ascii="Arial" w:hAnsi="Arial" w:cs="Arial"/>
          <w:color w:val="010000"/>
          <w:sz w:val="20"/>
        </w:rPr>
        <w:t>The Annual General Mandate consists of 6 articles and was approved by the Annual General Meeting of Shareholders 2024 of Phu My Water Supply Joint Stock Company in full at the meeting.</w:t>
      </w:r>
    </w:p>
    <w:sectPr w:rsidR="00F66251" w:rsidRPr="00017B78" w:rsidSect="00A77AC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D56EB" w14:textId="77777777" w:rsidR="00602DC4" w:rsidRDefault="00602DC4" w:rsidP="00642140">
      <w:r>
        <w:separator/>
      </w:r>
    </w:p>
  </w:endnote>
  <w:endnote w:type="continuationSeparator" w:id="0">
    <w:p w14:paraId="6EBCB864" w14:textId="77777777" w:rsidR="00602DC4" w:rsidRDefault="00602DC4" w:rsidP="0064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00270" w14:textId="77777777" w:rsidR="00602DC4" w:rsidRDefault="00602DC4" w:rsidP="00642140">
      <w:r>
        <w:separator/>
      </w:r>
    </w:p>
  </w:footnote>
  <w:footnote w:type="continuationSeparator" w:id="0">
    <w:p w14:paraId="4E776543" w14:textId="77777777" w:rsidR="00602DC4" w:rsidRDefault="00602DC4" w:rsidP="0064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2A3"/>
    <w:multiLevelType w:val="multilevel"/>
    <w:tmpl w:val="35FEC0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171276"/>
    <w:multiLevelType w:val="multilevel"/>
    <w:tmpl w:val="E6BE86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E060D5B"/>
    <w:multiLevelType w:val="multilevel"/>
    <w:tmpl w:val="18EC675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51"/>
    <w:rsid w:val="00017B78"/>
    <w:rsid w:val="005D601E"/>
    <w:rsid w:val="00602DC4"/>
    <w:rsid w:val="00642140"/>
    <w:rsid w:val="00917613"/>
    <w:rsid w:val="00A77AC9"/>
    <w:rsid w:val="00B22A64"/>
    <w:rsid w:val="00E55D0B"/>
    <w:rsid w:val="00EB06CF"/>
    <w:rsid w:val="00F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CBAC0"/>
  <w15:docId w15:val="{BB5F8A31-3B2B-46CA-8BA2-534384F5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/>
      <w:strike w:val="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smallCaps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27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122" w:lineRule="auto"/>
      <w:jc w:val="right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0"/>
      <w:szCs w:val="10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Khc0">
    <w:name w:val="Khác"/>
    <w:basedOn w:val="Normal"/>
    <w:link w:val="Khc"/>
    <w:pPr>
      <w:spacing w:line="288" w:lineRule="auto"/>
      <w:ind w:firstLine="27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264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14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2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1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16Sd5OfdK2F6eEOOORvAjsM/qQ==">CgMxLjAyCGguZ2pkZ3hzOAByITFiWVd2Vl9BNzR0UHppTjl0d1ZIcFJXZndCZG5EYXpQZg==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2024-04-10T03:36:00Z</dcterms:created>
  <dcterms:modified xsi:type="dcterms:W3CDTF">2024-04-10T03:36:00Z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5062a5bccca0bceb8ea6d7fa0b2450257b43dc5e51460f9c601e0d22673e08a0</vt:lpwstr>
  </property>
</Properties>
</file>