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480" w14:textId="09AD2835" w:rsidR="007428D2" w:rsidRPr="00AF57E7" w:rsidRDefault="002941E4" w:rsidP="00D03957">
      <w:pPr>
        <w:pStyle w:val="Vnbnnidung20"/>
        <w:tabs>
          <w:tab w:val="left" w:pos="432"/>
        </w:tabs>
        <w:spacing w:after="120" w:line="360" w:lineRule="auto"/>
        <w:jc w:val="both"/>
        <w:rPr>
          <w:rFonts w:ascii="Arial" w:hAnsi="Arial" w:cs="Arial"/>
          <w:bCs w:val="0"/>
          <w:color w:val="010000"/>
          <w:sz w:val="20"/>
          <w:szCs w:val="20"/>
        </w:rPr>
      </w:pPr>
      <w:r w:rsidRPr="00AF57E7">
        <w:rPr>
          <w:rFonts w:ascii="Arial" w:hAnsi="Arial" w:cs="Arial"/>
          <w:color w:val="010000"/>
          <w:sz w:val="20"/>
        </w:rPr>
        <w:t xml:space="preserve">SZB: </w:t>
      </w:r>
      <w:r w:rsidR="00655BCE" w:rsidRPr="00AF57E7">
        <w:rPr>
          <w:rFonts w:ascii="Arial" w:hAnsi="Arial" w:cs="Arial"/>
          <w:color w:val="010000"/>
          <w:sz w:val="20"/>
        </w:rPr>
        <w:t xml:space="preserve">Annual </w:t>
      </w:r>
      <w:r w:rsidRPr="00AF57E7">
        <w:rPr>
          <w:rFonts w:ascii="Arial" w:hAnsi="Arial" w:cs="Arial"/>
          <w:color w:val="010000"/>
          <w:sz w:val="20"/>
        </w:rPr>
        <w:t>General Mand</w:t>
      </w:r>
      <w:bookmarkStart w:id="0" w:name="_GoBack"/>
      <w:bookmarkEnd w:id="0"/>
      <w:r w:rsidRPr="00AF57E7">
        <w:rPr>
          <w:rFonts w:ascii="Arial" w:hAnsi="Arial" w:cs="Arial"/>
          <w:color w:val="010000"/>
          <w:sz w:val="20"/>
        </w:rPr>
        <w:t>ate</w:t>
      </w:r>
      <w:r w:rsidR="00655BCE" w:rsidRPr="00AF57E7">
        <w:rPr>
          <w:rFonts w:ascii="Arial" w:hAnsi="Arial" w:cs="Arial"/>
          <w:color w:val="010000"/>
          <w:sz w:val="20"/>
        </w:rPr>
        <w:t xml:space="preserve"> 2024</w:t>
      </w:r>
    </w:p>
    <w:p w14:paraId="0342894E" w14:textId="77777777" w:rsidR="007428D2" w:rsidRPr="00AF57E7" w:rsidRDefault="002941E4" w:rsidP="00D03957">
      <w:pPr>
        <w:pStyle w:val="Vnbnnidung0"/>
        <w:tabs>
          <w:tab w:val="left" w:pos="432"/>
          <w:tab w:val="left" w:pos="112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On March 28, 2024, Sonadezi Long Binh Shareholding Company announced General Mandate No. 66/NQ-DHDCD-SZB as follows:</w:t>
      </w:r>
    </w:p>
    <w:p w14:paraId="2A9A30E8" w14:textId="3F590CD4"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Article 1: Approve the Report of </w:t>
      </w:r>
      <w:r w:rsidR="00655BCE" w:rsidRPr="00AF57E7">
        <w:rPr>
          <w:rFonts w:ascii="Arial" w:hAnsi="Arial" w:cs="Arial"/>
          <w:color w:val="010000"/>
          <w:sz w:val="20"/>
        </w:rPr>
        <w:t xml:space="preserve">the </w:t>
      </w:r>
      <w:r w:rsidRPr="00AF57E7">
        <w:rPr>
          <w:rFonts w:ascii="Arial" w:hAnsi="Arial" w:cs="Arial"/>
          <w:color w:val="010000"/>
          <w:sz w:val="20"/>
        </w:rPr>
        <w:t xml:space="preserve">General Manager on the </w:t>
      </w:r>
      <w:r w:rsidR="00655BCE" w:rsidRPr="00AF57E7">
        <w:rPr>
          <w:rFonts w:ascii="Arial" w:hAnsi="Arial" w:cs="Arial"/>
          <w:color w:val="010000"/>
          <w:sz w:val="20"/>
        </w:rPr>
        <w:t>p</w:t>
      </w:r>
      <w:r w:rsidRPr="00AF57E7">
        <w:rPr>
          <w:rFonts w:ascii="Arial" w:hAnsi="Arial" w:cs="Arial"/>
          <w:color w:val="010000"/>
          <w:sz w:val="20"/>
        </w:rPr>
        <w:t xml:space="preserve">roduction and </w:t>
      </w:r>
      <w:r w:rsidR="00655BCE" w:rsidRPr="00AF57E7">
        <w:rPr>
          <w:rFonts w:ascii="Arial" w:hAnsi="Arial" w:cs="Arial"/>
          <w:color w:val="010000"/>
          <w:sz w:val="20"/>
        </w:rPr>
        <w:t>business res</w:t>
      </w:r>
      <w:r w:rsidRPr="00AF57E7">
        <w:rPr>
          <w:rFonts w:ascii="Arial" w:hAnsi="Arial" w:cs="Arial"/>
          <w:color w:val="010000"/>
          <w:sz w:val="20"/>
        </w:rPr>
        <w:t xml:space="preserve">ults in 2023 and </w:t>
      </w:r>
      <w:r w:rsidR="00655BCE" w:rsidRPr="00AF57E7">
        <w:rPr>
          <w:rFonts w:ascii="Arial" w:hAnsi="Arial" w:cs="Arial"/>
          <w:color w:val="010000"/>
          <w:sz w:val="20"/>
        </w:rPr>
        <w:t>the p</w:t>
      </w:r>
      <w:r w:rsidRPr="00AF57E7">
        <w:rPr>
          <w:rFonts w:ascii="Arial" w:hAnsi="Arial" w:cs="Arial"/>
          <w:color w:val="010000"/>
          <w:sz w:val="20"/>
        </w:rPr>
        <w:t>lan for 2024</w:t>
      </w:r>
      <w:r w:rsidR="00655BCE" w:rsidRPr="00AF57E7">
        <w:rPr>
          <w:rFonts w:ascii="Arial" w:hAnsi="Arial" w:cs="Arial"/>
          <w:color w:val="010000"/>
          <w:sz w:val="20"/>
        </w:rPr>
        <w:t>.</w:t>
      </w:r>
    </w:p>
    <w:p w14:paraId="7852F744" w14:textId="064EF6E5"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Article 2: Approve the Audited Financial Statements 2023.</w:t>
      </w:r>
    </w:p>
    <w:p w14:paraId="21E4EB62" w14:textId="3E8CC18E"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Article 3: Approve the Report on activities of the Board of Directors in 2023 - plan for 2024; Operat</w:t>
      </w:r>
      <w:r w:rsidR="00655BCE" w:rsidRPr="00AF57E7">
        <w:rPr>
          <w:rFonts w:ascii="Arial" w:hAnsi="Arial" w:cs="Arial"/>
          <w:color w:val="010000"/>
          <w:sz w:val="20"/>
        </w:rPr>
        <w:t>ing</w:t>
      </w:r>
      <w:r w:rsidRPr="00AF57E7">
        <w:rPr>
          <w:rFonts w:ascii="Arial" w:hAnsi="Arial" w:cs="Arial"/>
          <w:color w:val="010000"/>
          <w:sz w:val="20"/>
        </w:rPr>
        <w:t xml:space="preserve"> </w:t>
      </w:r>
      <w:r w:rsidR="00655BCE" w:rsidRPr="00AF57E7">
        <w:rPr>
          <w:rFonts w:ascii="Arial" w:hAnsi="Arial" w:cs="Arial"/>
          <w:color w:val="010000"/>
          <w:sz w:val="20"/>
        </w:rPr>
        <w:t>orientation</w:t>
      </w:r>
      <w:r w:rsidRPr="00AF57E7">
        <w:rPr>
          <w:rFonts w:ascii="Arial" w:hAnsi="Arial" w:cs="Arial"/>
          <w:color w:val="010000"/>
          <w:sz w:val="20"/>
        </w:rPr>
        <w:t xml:space="preserve"> for term IV (2024 - 2029).</w:t>
      </w:r>
    </w:p>
    <w:p w14:paraId="6626D5DB" w14:textId="465C3FF9"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Article 4: Approv</w:t>
      </w:r>
      <w:r w:rsidR="00655BCE" w:rsidRPr="00AF57E7">
        <w:rPr>
          <w:rFonts w:ascii="Arial" w:hAnsi="Arial" w:cs="Arial"/>
          <w:color w:val="010000"/>
          <w:sz w:val="20"/>
        </w:rPr>
        <w:t xml:space="preserve">e </w:t>
      </w:r>
      <w:r w:rsidRPr="00AF57E7">
        <w:rPr>
          <w:rFonts w:ascii="Arial" w:hAnsi="Arial" w:cs="Arial"/>
          <w:color w:val="010000"/>
          <w:sz w:val="20"/>
        </w:rPr>
        <w:t>the evaluation report of independent members of the Board of Directors in 2023.</w:t>
      </w:r>
    </w:p>
    <w:p w14:paraId="7AE728CB" w14:textId="0FA322F7"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Article 5: Approve the </w:t>
      </w:r>
      <w:r w:rsidR="00655BCE" w:rsidRPr="00AF57E7">
        <w:rPr>
          <w:rFonts w:ascii="Arial" w:hAnsi="Arial" w:cs="Arial"/>
          <w:color w:val="010000"/>
          <w:sz w:val="20"/>
        </w:rPr>
        <w:t>R</w:t>
      </w:r>
      <w:r w:rsidRPr="00AF57E7">
        <w:rPr>
          <w:rFonts w:ascii="Arial" w:hAnsi="Arial" w:cs="Arial"/>
          <w:color w:val="010000"/>
          <w:sz w:val="20"/>
        </w:rPr>
        <w:t xml:space="preserve">eport on supervising production and business activities in 2023 and </w:t>
      </w:r>
      <w:r w:rsidR="00655BCE" w:rsidRPr="00AF57E7">
        <w:rPr>
          <w:rFonts w:ascii="Arial" w:hAnsi="Arial" w:cs="Arial"/>
          <w:color w:val="010000"/>
          <w:sz w:val="20"/>
        </w:rPr>
        <w:t>s</w:t>
      </w:r>
      <w:r w:rsidRPr="00AF57E7">
        <w:rPr>
          <w:rFonts w:ascii="Arial" w:hAnsi="Arial" w:cs="Arial"/>
          <w:color w:val="010000"/>
          <w:sz w:val="20"/>
        </w:rPr>
        <w:t>upervis</w:t>
      </w:r>
      <w:r w:rsidR="00655BCE" w:rsidRPr="00AF57E7">
        <w:rPr>
          <w:rFonts w:ascii="Arial" w:hAnsi="Arial" w:cs="Arial"/>
          <w:color w:val="010000"/>
          <w:sz w:val="20"/>
        </w:rPr>
        <w:t>ing</w:t>
      </w:r>
      <w:r w:rsidRPr="00AF57E7">
        <w:rPr>
          <w:rFonts w:ascii="Arial" w:hAnsi="Arial" w:cs="Arial"/>
          <w:color w:val="010000"/>
          <w:sz w:val="20"/>
        </w:rPr>
        <w:t xml:space="preserve"> activities of the Supervisory Board in term III (2019</w:t>
      </w:r>
      <w:r w:rsidR="00655BCE" w:rsidRPr="00AF57E7">
        <w:rPr>
          <w:rFonts w:ascii="Arial" w:hAnsi="Arial" w:cs="Arial"/>
          <w:color w:val="010000"/>
          <w:sz w:val="20"/>
        </w:rPr>
        <w:t xml:space="preserve"> </w:t>
      </w:r>
      <w:r w:rsidRPr="00AF57E7">
        <w:rPr>
          <w:rFonts w:ascii="Arial" w:hAnsi="Arial" w:cs="Arial"/>
          <w:color w:val="010000"/>
          <w:sz w:val="20"/>
        </w:rPr>
        <w:t>-</w:t>
      </w:r>
      <w:r w:rsidR="00655BCE" w:rsidRPr="00AF57E7">
        <w:rPr>
          <w:rFonts w:ascii="Arial" w:hAnsi="Arial" w:cs="Arial"/>
          <w:color w:val="010000"/>
          <w:sz w:val="20"/>
        </w:rPr>
        <w:t xml:space="preserve"> </w:t>
      </w:r>
      <w:r w:rsidRPr="00AF57E7">
        <w:rPr>
          <w:rFonts w:ascii="Arial" w:hAnsi="Arial" w:cs="Arial"/>
          <w:color w:val="010000"/>
          <w:sz w:val="20"/>
        </w:rPr>
        <w:t>2024).</w:t>
      </w:r>
    </w:p>
    <w:p w14:paraId="1114E5B7" w14:textId="77777777" w:rsidR="00D05683"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Article 6: Approve the selection of an audit company for the Financial Statements 2024 as follows: </w:t>
      </w:r>
    </w:p>
    <w:p w14:paraId="69BD5B98" w14:textId="4D21AC8C" w:rsidR="007428D2" w:rsidRPr="00AF57E7" w:rsidRDefault="00D05683"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Authorize the Board of Directors to select one of the following three audit companies to audit the Financial Statements 2024 for Sonadezi Long Binh Shareholding Company:</w:t>
      </w:r>
    </w:p>
    <w:p w14:paraId="206FC650" w14:textId="77777777" w:rsidR="007428D2" w:rsidRPr="00AF57E7" w:rsidRDefault="002941E4" w:rsidP="00D03957">
      <w:pPr>
        <w:pStyle w:val="Vnbnnidung0"/>
        <w:numPr>
          <w:ilvl w:val="0"/>
          <w:numId w:val="7"/>
        </w:numPr>
        <w:tabs>
          <w:tab w:val="left" w:pos="43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RSM Vietnam Auditing &amp; Consulting Company Limited;</w:t>
      </w:r>
    </w:p>
    <w:p w14:paraId="7B17BAB5" w14:textId="77777777" w:rsidR="007428D2" w:rsidRPr="00AF57E7" w:rsidRDefault="002941E4" w:rsidP="00D03957">
      <w:pPr>
        <w:pStyle w:val="Vnbnnidung0"/>
        <w:numPr>
          <w:ilvl w:val="0"/>
          <w:numId w:val="7"/>
        </w:numPr>
        <w:tabs>
          <w:tab w:val="left" w:pos="43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Deloitte Vietnam Audit Company Limited;</w:t>
      </w:r>
    </w:p>
    <w:p w14:paraId="5862B52D" w14:textId="77777777" w:rsidR="007428D2" w:rsidRPr="00AF57E7" w:rsidRDefault="002941E4" w:rsidP="00D03957">
      <w:pPr>
        <w:pStyle w:val="Vnbnnidung0"/>
        <w:numPr>
          <w:ilvl w:val="0"/>
          <w:numId w:val="7"/>
        </w:numPr>
        <w:tabs>
          <w:tab w:val="left" w:pos="43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A&amp;C Auditing and Consulting Company Limited</w:t>
      </w:r>
    </w:p>
    <w:p w14:paraId="5DCD7043" w14:textId="0A10E960" w:rsidR="007428D2" w:rsidRPr="00AF57E7" w:rsidRDefault="002941E4" w:rsidP="00D03957">
      <w:pPr>
        <w:pStyle w:val="Vnbnnidung0"/>
        <w:tabs>
          <w:tab w:val="left" w:pos="432"/>
        </w:tabs>
        <w:spacing w:after="120" w:line="360" w:lineRule="auto"/>
        <w:ind w:left="18" w:hangingChars="9" w:hanging="18"/>
        <w:jc w:val="both"/>
        <w:rPr>
          <w:rFonts w:ascii="Arial" w:hAnsi="Arial" w:cs="Arial"/>
          <w:color w:val="010000"/>
          <w:sz w:val="20"/>
          <w:szCs w:val="20"/>
        </w:rPr>
      </w:pPr>
      <w:r w:rsidRPr="00AF57E7">
        <w:rPr>
          <w:rFonts w:ascii="Arial" w:hAnsi="Arial" w:cs="Arial"/>
          <w:color w:val="010000"/>
          <w:sz w:val="20"/>
        </w:rPr>
        <w:t xml:space="preserve">Article 7: Approve the </w:t>
      </w:r>
      <w:r w:rsidR="00655BCE" w:rsidRPr="00AF57E7">
        <w:rPr>
          <w:rFonts w:ascii="Arial" w:hAnsi="Arial" w:cs="Arial"/>
          <w:color w:val="010000"/>
          <w:sz w:val="20"/>
        </w:rPr>
        <w:t>Proposal</w:t>
      </w:r>
      <w:r w:rsidRPr="00AF57E7">
        <w:rPr>
          <w:rFonts w:ascii="Arial" w:hAnsi="Arial" w:cs="Arial"/>
          <w:color w:val="010000"/>
          <w:sz w:val="20"/>
        </w:rPr>
        <w:t xml:space="preserve"> on production and business results and profit distribution plan in 2023; </w:t>
      </w:r>
      <w:r w:rsidR="00655BCE" w:rsidRPr="00AF57E7">
        <w:rPr>
          <w:rFonts w:ascii="Arial" w:hAnsi="Arial" w:cs="Arial"/>
          <w:color w:val="010000"/>
          <w:sz w:val="20"/>
        </w:rPr>
        <w:t>p</w:t>
      </w:r>
      <w:r w:rsidRPr="00AF57E7">
        <w:rPr>
          <w:rFonts w:ascii="Arial" w:hAnsi="Arial" w:cs="Arial"/>
          <w:color w:val="010000"/>
          <w:sz w:val="20"/>
        </w:rPr>
        <w:t>roduction and business plan and profit distribution plan for 2024:</w:t>
      </w:r>
    </w:p>
    <w:p w14:paraId="2D58B047" w14:textId="77777777" w:rsidR="007428D2" w:rsidRPr="00AF57E7" w:rsidRDefault="002941E4" w:rsidP="00D03957">
      <w:pPr>
        <w:pStyle w:val="Vnbnnidung0"/>
        <w:numPr>
          <w:ilvl w:val="0"/>
          <w:numId w:val="8"/>
        </w:numPr>
        <w:tabs>
          <w:tab w:val="left" w:pos="43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Production and business results and profit distribution plan in 2023</w:t>
      </w:r>
    </w:p>
    <w:p w14:paraId="3E6F69E3" w14:textId="77777777" w:rsidR="007428D2" w:rsidRPr="00AF57E7" w:rsidRDefault="002941E4" w:rsidP="00D03957">
      <w:pPr>
        <w:pStyle w:val="Vnbnnidung0"/>
        <w:tabs>
          <w:tab w:val="left" w:pos="432"/>
        </w:tabs>
        <w:spacing w:after="120" w:line="360" w:lineRule="auto"/>
        <w:ind w:left="18" w:hangingChars="9" w:hanging="18"/>
        <w:jc w:val="both"/>
        <w:rPr>
          <w:rFonts w:ascii="Arial" w:hAnsi="Arial" w:cs="Arial"/>
          <w:color w:val="010000"/>
          <w:sz w:val="20"/>
          <w:szCs w:val="20"/>
        </w:rPr>
      </w:pPr>
      <w:r w:rsidRPr="00AF57E7">
        <w:rPr>
          <w:rFonts w:ascii="Arial" w:hAnsi="Arial" w:cs="Arial"/>
          <w:color w:val="010000"/>
          <w:sz w:val="20"/>
        </w:rPr>
        <w:t>Unit: VND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0"/>
        <w:gridCol w:w="2773"/>
        <w:gridCol w:w="838"/>
        <w:gridCol w:w="1773"/>
        <w:gridCol w:w="921"/>
        <w:gridCol w:w="2045"/>
      </w:tblGrid>
      <w:tr w:rsidR="00D05683" w:rsidRPr="00AF57E7" w14:paraId="012A5ABD" w14:textId="77777777" w:rsidTr="00655BCE">
        <w:trPr>
          <w:jc w:val="center"/>
        </w:trPr>
        <w:tc>
          <w:tcPr>
            <w:tcW w:w="366" w:type="pct"/>
            <w:vMerge w:val="restart"/>
            <w:shd w:val="clear" w:color="auto" w:fill="auto"/>
            <w:vAlign w:val="center"/>
          </w:tcPr>
          <w:p w14:paraId="533DF7FD"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539" w:type="pct"/>
            <w:vMerge w:val="restart"/>
            <w:shd w:val="clear" w:color="auto" w:fill="auto"/>
            <w:vAlign w:val="center"/>
          </w:tcPr>
          <w:p w14:paraId="0B5F8C8A"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Content</w:t>
            </w:r>
          </w:p>
        </w:tc>
        <w:tc>
          <w:tcPr>
            <w:tcW w:w="1449" w:type="pct"/>
            <w:gridSpan w:val="2"/>
            <w:shd w:val="clear" w:color="auto" w:fill="auto"/>
            <w:vAlign w:val="center"/>
          </w:tcPr>
          <w:p w14:paraId="6B9F45A0" w14:textId="0FA34552" w:rsidR="007428D2" w:rsidRPr="00AF57E7" w:rsidRDefault="00655BCE"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2023 </w:t>
            </w:r>
            <w:r w:rsidR="002941E4" w:rsidRPr="00AF57E7">
              <w:rPr>
                <w:rFonts w:ascii="Arial" w:hAnsi="Arial" w:cs="Arial"/>
                <w:color w:val="010000"/>
                <w:sz w:val="20"/>
              </w:rPr>
              <w:t>Plan</w:t>
            </w:r>
          </w:p>
        </w:tc>
        <w:tc>
          <w:tcPr>
            <w:tcW w:w="1646" w:type="pct"/>
            <w:gridSpan w:val="2"/>
            <w:shd w:val="clear" w:color="auto" w:fill="auto"/>
            <w:vAlign w:val="center"/>
          </w:tcPr>
          <w:p w14:paraId="583EED81" w14:textId="0CE96106"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2023 </w:t>
            </w:r>
            <w:r w:rsidR="00655BCE" w:rsidRPr="00AF57E7">
              <w:rPr>
                <w:rFonts w:ascii="Arial" w:hAnsi="Arial" w:cs="Arial"/>
                <w:color w:val="010000"/>
                <w:sz w:val="20"/>
              </w:rPr>
              <w:t>Results</w:t>
            </w:r>
          </w:p>
        </w:tc>
      </w:tr>
      <w:tr w:rsidR="00D05683" w:rsidRPr="00AF57E7" w14:paraId="1C36E519" w14:textId="77777777" w:rsidTr="00655BCE">
        <w:trPr>
          <w:jc w:val="center"/>
        </w:trPr>
        <w:tc>
          <w:tcPr>
            <w:tcW w:w="366" w:type="pct"/>
            <w:vMerge/>
            <w:shd w:val="clear" w:color="auto" w:fill="auto"/>
            <w:vAlign w:val="center"/>
          </w:tcPr>
          <w:p w14:paraId="50E7B537"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539" w:type="pct"/>
            <w:vMerge/>
            <w:shd w:val="clear" w:color="auto" w:fill="auto"/>
            <w:vAlign w:val="center"/>
          </w:tcPr>
          <w:p w14:paraId="641FCD6E"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465" w:type="pct"/>
            <w:shd w:val="clear" w:color="auto" w:fill="auto"/>
            <w:vAlign w:val="center"/>
          </w:tcPr>
          <w:p w14:paraId="3318E11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Rate</w:t>
            </w:r>
          </w:p>
        </w:tc>
        <w:tc>
          <w:tcPr>
            <w:tcW w:w="984" w:type="pct"/>
            <w:shd w:val="clear" w:color="auto" w:fill="auto"/>
            <w:vAlign w:val="center"/>
          </w:tcPr>
          <w:p w14:paraId="5C7FC09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Amount</w:t>
            </w:r>
          </w:p>
        </w:tc>
        <w:tc>
          <w:tcPr>
            <w:tcW w:w="511" w:type="pct"/>
            <w:shd w:val="clear" w:color="auto" w:fill="auto"/>
            <w:vAlign w:val="center"/>
          </w:tcPr>
          <w:p w14:paraId="2C0C3227"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Rate</w:t>
            </w:r>
          </w:p>
        </w:tc>
        <w:tc>
          <w:tcPr>
            <w:tcW w:w="1135" w:type="pct"/>
            <w:shd w:val="clear" w:color="auto" w:fill="auto"/>
            <w:vAlign w:val="center"/>
          </w:tcPr>
          <w:p w14:paraId="6AECDF14"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Amount</w:t>
            </w:r>
          </w:p>
        </w:tc>
      </w:tr>
      <w:tr w:rsidR="00D05683" w:rsidRPr="00AF57E7" w14:paraId="2284AEB8" w14:textId="77777777" w:rsidTr="00655BCE">
        <w:trPr>
          <w:jc w:val="center"/>
        </w:trPr>
        <w:tc>
          <w:tcPr>
            <w:tcW w:w="366" w:type="pct"/>
            <w:shd w:val="clear" w:color="auto" w:fill="auto"/>
            <w:vAlign w:val="center"/>
          </w:tcPr>
          <w:p w14:paraId="00FFBA0A"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w:t>
            </w:r>
          </w:p>
        </w:tc>
        <w:tc>
          <w:tcPr>
            <w:tcW w:w="1539" w:type="pct"/>
            <w:shd w:val="clear" w:color="auto" w:fill="auto"/>
            <w:vAlign w:val="center"/>
          </w:tcPr>
          <w:p w14:paraId="6D90CFD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Total revenue</w:t>
            </w:r>
          </w:p>
        </w:tc>
        <w:tc>
          <w:tcPr>
            <w:tcW w:w="465" w:type="pct"/>
            <w:shd w:val="clear" w:color="auto" w:fill="auto"/>
            <w:vAlign w:val="center"/>
          </w:tcPr>
          <w:p w14:paraId="6781A259"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733E2DD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389,579,000,000</w:t>
            </w:r>
          </w:p>
        </w:tc>
        <w:tc>
          <w:tcPr>
            <w:tcW w:w="511" w:type="pct"/>
            <w:shd w:val="clear" w:color="auto" w:fill="auto"/>
            <w:vAlign w:val="center"/>
          </w:tcPr>
          <w:p w14:paraId="33714E19"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1CCDE987"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402,313,604,308</w:t>
            </w:r>
          </w:p>
        </w:tc>
      </w:tr>
      <w:tr w:rsidR="00D05683" w:rsidRPr="00AF57E7" w14:paraId="17108568" w14:textId="77777777" w:rsidTr="00655BCE">
        <w:tblPrEx>
          <w:jc w:val="left"/>
        </w:tblPrEx>
        <w:tc>
          <w:tcPr>
            <w:tcW w:w="366" w:type="pct"/>
            <w:shd w:val="clear" w:color="auto" w:fill="auto"/>
            <w:vAlign w:val="center"/>
          </w:tcPr>
          <w:p w14:paraId="572F980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w:t>
            </w:r>
          </w:p>
        </w:tc>
        <w:tc>
          <w:tcPr>
            <w:tcW w:w="1539" w:type="pct"/>
            <w:shd w:val="clear" w:color="auto" w:fill="auto"/>
            <w:vAlign w:val="center"/>
          </w:tcPr>
          <w:p w14:paraId="57E8B79C"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Total expenses</w:t>
            </w:r>
          </w:p>
        </w:tc>
        <w:tc>
          <w:tcPr>
            <w:tcW w:w="465" w:type="pct"/>
            <w:shd w:val="clear" w:color="auto" w:fill="auto"/>
            <w:vAlign w:val="center"/>
          </w:tcPr>
          <w:p w14:paraId="15D8BECE"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371CA43A"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252,193,000,000</w:t>
            </w:r>
          </w:p>
        </w:tc>
        <w:tc>
          <w:tcPr>
            <w:tcW w:w="511" w:type="pct"/>
            <w:shd w:val="clear" w:color="auto" w:fill="auto"/>
            <w:vAlign w:val="center"/>
          </w:tcPr>
          <w:p w14:paraId="60D5122B"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6926F84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259,494,929,993</w:t>
            </w:r>
          </w:p>
        </w:tc>
      </w:tr>
      <w:tr w:rsidR="00D05683" w:rsidRPr="00AF57E7" w14:paraId="1AF6D326" w14:textId="77777777" w:rsidTr="00655BCE">
        <w:tblPrEx>
          <w:jc w:val="left"/>
        </w:tblPrEx>
        <w:tc>
          <w:tcPr>
            <w:tcW w:w="366" w:type="pct"/>
            <w:shd w:val="clear" w:color="auto" w:fill="auto"/>
            <w:vAlign w:val="center"/>
          </w:tcPr>
          <w:p w14:paraId="6FDA9BA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w:t>
            </w:r>
          </w:p>
        </w:tc>
        <w:tc>
          <w:tcPr>
            <w:tcW w:w="1539" w:type="pct"/>
            <w:shd w:val="clear" w:color="auto" w:fill="auto"/>
            <w:vAlign w:val="center"/>
          </w:tcPr>
          <w:p w14:paraId="30934531"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before tax</w:t>
            </w:r>
          </w:p>
        </w:tc>
        <w:tc>
          <w:tcPr>
            <w:tcW w:w="465" w:type="pct"/>
            <w:shd w:val="clear" w:color="auto" w:fill="auto"/>
            <w:vAlign w:val="center"/>
          </w:tcPr>
          <w:p w14:paraId="1CD240B2"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4908A29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137,386,000,000</w:t>
            </w:r>
          </w:p>
        </w:tc>
        <w:tc>
          <w:tcPr>
            <w:tcW w:w="511" w:type="pct"/>
            <w:shd w:val="clear" w:color="auto" w:fill="auto"/>
            <w:vAlign w:val="center"/>
          </w:tcPr>
          <w:p w14:paraId="6B53327B"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71C48387"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142,818,674,315</w:t>
            </w:r>
          </w:p>
        </w:tc>
      </w:tr>
      <w:tr w:rsidR="00D05683" w:rsidRPr="00AF57E7" w14:paraId="74AE0901" w14:textId="77777777" w:rsidTr="00655BCE">
        <w:tblPrEx>
          <w:jc w:val="left"/>
        </w:tblPrEx>
        <w:tc>
          <w:tcPr>
            <w:tcW w:w="366" w:type="pct"/>
            <w:shd w:val="clear" w:color="auto" w:fill="auto"/>
            <w:vAlign w:val="center"/>
          </w:tcPr>
          <w:p w14:paraId="0A0F0B1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w:t>
            </w:r>
          </w:p>
        </w:tc>
        <w:tc>
          <w:tcPr>
            <w:tcW w:w="1539" w:type="pct"/>
            <w:shd w:val="clear" w:color="auto" w:fill="auto"/>
            <w:vAlign w:val="center"/>
          </w:tcPr>
          <w:p w14:paraId="7E28F9E5"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Corporate income tax</w:t>
            </w:r>
          </w:p>
        </w:tc>
        <w:tc>
          <w:tcPr>
            <w:tcW w:w="465" w:type="pct"/>
            <w:shd w:val="clear" w:color="auto" w:fill="auto"/>
            <w:vAlign w:val="center"/>
          </w:tcPr>
          <w:p w14:paraId="0507BB29"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14A3B5D7"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25,859,000,000</w:t>
            </w:r>
          </w:p>
        </w:tc>
        <w:tc>
          <w:tcPr>
            <w:tcW w:w="511" w:type="pct"/>
            <w:shd w:val="clear" w:color="auto" w:fill="auto"/>
            <w:vAlign w:val="center"/>
          </w:tcPr>
          <w:p w14:paraId="6783B772"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43216F0C"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26,452,489,923</w:t>
            </w:r>
          </w:p>
        </w:tc>
      </w:tr>
      <w:tr w:rsidR="00D05683" w:rsidRPr="00AF57E7" w14:paraId="06EE2546" w14:textId="77777777" w:rsidTr="00655BCE">
        <w:tblPrEx>
          <w:jc w:val="left"/>
        </w:tblPrEx>
        <w:tc>
          <w:tcPr>
            <w:tcW w:w="366" w:type="pct"/>
            <w:shd w:val="clear" w:color="auto" w:fill="auto"/>
            <w:vAlign w:val="center"/>
          </w:tcPr>
          <w:p w14:paraId="539C6FE9"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w:t>
            </w:r>
          </w:p>
        </w:tc>
        <w:tc>
          <w:tcPr>
            <w:tcW w:w="1539" w:type="pct"/>
            <w:shd w:val="clear" w:color="auto" w:fill="auto"/>
            <w:vAlign w:val="center"/>
          </w:tcPr>
          <w:p w14:paraId="337E23EC" w14:textId="4DD2839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after tax</w:t>
            </w:r>
          </w:p>
        </w:tc>
        <w:tc>
          <w:tcPr>
            <w:tcW w:w="465" w:type="pct"/>
            <w:shd w:val="clear" w:color="auto" w:fill="auto"/>
            <w:vAlign w:val="center"/>
          </w:tcPr>
          <w:p w14:paraId="0934EC41"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4E583315"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111,527,000,000</w:t>
            </w:r>
          </w:p>
        </w:tc>
        <w:tc>
          <w:tcPr>
            <w:tcW w:w="511" w:type="pct"/>
            <w:shd w:val="clear" w:color="auto" w:fill="auto"/>
            <w:vAlign w:val="center"/>
          </w:tcPr>
          <w:p w14:paraId="28AC92AF"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7F84062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116,366,184,392</w:t>
            </w:r>
          </w:p>
        </w:tc>
      </w:tr>
      <w:tr w:rsidR="00D05683" w:rsidRPr="00AF57E7" w14:paraId="35901D80" w14:textId="77777777" w:rsidTr="00655BCE">
        <w:tblPrEx>
          <w:jc w:val="left"/>
        </w:tblPrEx>
        <w:tc>
          <w:tcPr>
            <w:tcW w:w="366" w:type="pct"/>
            <w:shd w:val="clear" w:color="auto" w:fill="auto"/>
            <w:vAlign w:val="center"/>
          </w:tcPr>
          <w:p w14:paraId="7918ACF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6</w:t>
            </w:r>
          </w:p>
        </w:tc>
        <w:tc>
          <w:tcPr>
            <w:tcW w:w="1539" w:type="pct"/>
            <w:shd w:val="clear" w:color="auto" w:fill="auto"/>
            <w:vAlign w:val="center"/>
          </w:tcPr>
          <w:p w14:paraId="42B17FD0" w14:textId="200F149F"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Appropriation for funds</w:t>
            </w:r>
          </w:p>
        </w:tc>
        <w:tc>
          <w:tcPr>
            <w:tcW w:w="465" w:type="pct"/>
            <w:shd w:val="clear" w:color="auto" w:fill="auto"/>
            <w:vAlign w:val="center"/>
          </w:tcPr>
          <w:p w14:paraId="2E812C0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17.75%</w:t>
            </w:r>
          </w:p>
        </w:tc>
        <w:tc>
          <w:tcPr>
            <w:tcW w:w="984" w:type="pct"/>
            <w:shd w:val="clear" w:color="auto" w:fill="auto"/>
            <w:vAlign w:val="center"/>
          </w:tcPr>
          <w:p w14:paraId="2C81C2E2"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19,800,875,000</w:t>
            </w:r>
          </w:p>
        </w:tc>
        <w:tc>
          <w:tcPr>
            <w:tcW w:w="511" w:type="pct"/>
            <w:shd w:val="clear" w:color="auto" w:fill="auto"/>
            <w:vAlign w:val="center"/>
          </w:tcPr>
          <w:p w14:paraId="091E2B8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18.58%</w:t>
            </w:r>
          </w:p>
        </w:tc>
        <w:tc>
          <w:tcPr>
            <w:tcW w:w="1135" w:type="pct"/>
            <w:shd w:val="clear" w:color="auto" w:fill="auto"/>
            <w:vAlign w:val="center"/>
          </w:tcPr>
          <w:p w14:paraId="65778758"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21,625,773,049</w:t>
            </w:r>
          </w:p>
        </w:tc>
      </w:tr>
      <w:tr w:rsidR="00D05683" w:rsidRPr="00AF57E7" w14:paraId="4D68F5D6" w14:textId="77777777" w:rsidTr="00655BCE">
        <w:tblPrEx>
          <w:jc w:val="left"/>
        </w:tblPrEx>
        <w:tc>
          <w:tcPr>
            <w:tcW w:w="366" w:type="pct"/>
            <w:shd w:val="clear" w:color="auto" w:fill="auto"/>
            <w:vAlign w:val="center"/>
          </w:tcPr>
          <w:p w14:paraId="74C88BD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1539" w:type="pct"/>
            <w:shd w:val="clear" w:color="auto" w:fill="auto"/>
            <w:vAlign w:val="center"/>
          </w:tcPr>
          <w:p w14:paraId="4CAAB1B8"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Investment and development fund</w:t>
            </w:r>
          </w:p>
        </w:tc>
        <w:tc>
          <w:tcPr>
            <w:tcW w:w="465" w:type="pct"/>
            <w:shd w:val="clear" w:color="auto" w:fill="auto"/>
            <w:vAlign w:val="center"/>
          </w:tcPr>
          <w:p w14:paraId="4B70B33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10.0%</w:t>
            </w:r>
          </w:p>
        </w:tc>
        <w:tc>
          <w:tcPr>
            <w:tcW w:w="984" w:type="pct"/>
            <w:shd w:val="clear" w:color="auto" w:fill="auto"/>
            <w:vAlign w:val="center"/>
          </w:tcPr>
          <w:p w14:paraId="3D990B5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11,152,700,000</w:t>
            </w:r>
          </w:p>
        </w:tc>
        <w:tc>
          <w:tcPr>
            <w:tcW w:w="511" w:type="pct"/>
            <w:shd w:val="clear" w:color="auto" w:fill="auto"/>
            <w:vAlign w:val="center"/>
          </w:tcPr>
          <w:p w14:paraId="3355F7A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10.0%</w:t>
            </w:r>
          </w:p>
        </w:tc>
        <w:tc>
          <w:tcPr>
            <w:tcW w:w="1135" w:type="pct"/>
            <w:shd w:val="clear" w:color="auto" w:fill="auto"/>
            <w:vAlign w:val="center"/>
          </w:tcPr>
          <w:p w14:paraId="040BA29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11,636,618,439</w:t>
            </w:r>
          </w:p>
        </w:tc>
      </w:tr>
      <w:tr w:rsidR="00D05683" w:rsidRPr="00AF57E7" w14:paraId="4A784F40" w14:textId="77777777" w:rsidTr="00655BCE">
        <w:tblPrEx>
          <w:jc w:val="left"/>
        </w:tblPrEx>
        <w:tc>
          <w:tcPr>
            <w:tcW w:w="366" w:type="pct"/>
            <w:shd w:val="clear" w:color="auto" w:fill="auto"/>
            <w:vAlign w:val="center"/>
          </w:tcPr>
          <w:p w14:paraId="4EABE61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lastRenderedPageBreak/>
              <w:t>-</w:t>
            </w:r>
          </w:p>
        </w:tc>
        <w:tc>
          <w:tcPr>
            <w:tcW w:w="1539" w:type="pct"/>
            <w:shd w:val="clear" w:color="auto" w:fill="auto"/>
            <w:vAlign w:val="center"/>
          </w:tcPr>
          <w:p w14:paraId="33A5CD0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Bonus and welfare fund for employees</w:t>
            </w:r>
          </w:p>
        </w:tc>
        <w:tc>
          <w:tcPr>
            <w:tcW w:w="465" w:type="pct"/>
            <w:shd w:val="clear" w:color="auto" w:fill="auto"/>
            <w:vAlign w:val="center"/>
          </w:tcPr>
          <w:p w14:paraId="7AB8525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4.88%</w:t>
            </w:r>
          </w:p>
        </w:tc>
        <w:tc>
          <w:tcPr>
            <w:tcW w:w="984" w:type="pct"/>
            <w:shd w:val="clear" w:color="auto" w:fill="auto"/>
            <w:vAlign w:val="center"/>
          </w:tcPr>
          <w:p w14:paraId="0C3D00E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5,440,000,000</w:t>
            </w:r>
          </w:p>
        </w:tc>
        <w:tc>
          <w:tcPr>
            <w:tcW w:w="511" w:type="pct"/>
            <w:shd w:val="clear" w:color="auto" w:fill="auto"/>
            <w:vAlign w:val="center"/>
          </w:tcPr>
          <w:p w14:paraId="1B573651"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5.69%</w:t>
            </w:r>
          </w:p>
        </w:tc>
        <w:tc>
          <w:tcPr>
            <w:tcW w:w="1135" w:type="pct"/>
            <w:shd w:val="clear" w:color="auto" w:fill="auto"/>
            <w:vAlign w:val="center"/>
          </w:tcPr>
          <w:p w14:paraId="7BCB89F4"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6,630,000,000</w:t>
            </w:r>
          </w:p>
        </w:tc>
      </w:tr>
      <w:tr w:rsidR="00D05683" w:rsidRPr="00AF57E7" w14:paraId="205CC215" w14:textId="77777777" w:rsidTr="00655BCE">
        <w:tblPrEx>
          <w:jc w:val="left"/>
        </w:tblPrEx>
        <w:tc>
          <w:tcPr>
            <w:tcW w:w="366" w:type="pct"/>
            <w:shd w:val="clear" w:color="auto" w:fill="auto"/>
            <w:vAlign w:val="center"/>
          </w:tcPr>
          <w:p w14:paraId="04851C9A"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1539" w:type="pct"/>
            <w:shd w:val="clear" w:color="auto" w:fill="auto"/>
            <w:vAlign w:val="center"/>
          </w:tcPr>
          <w:p w14:paraId="01A6E4F7"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Bonus fund for managers</w:t>
            </w:r>
          </w:p>
        </w:tc>
        <w:tc>
          <w:tcPr>
            <w:tcW w:w="465" w:type="pct"/>
            <w:shd w:val="clear" w:color="auto" w:fill="auto"/>
            <w:vAlign w:val="center"/>
          </w:tcPr>
          <w:p w14:paraId="7AAA80D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0.38%</w:t>
            </w:r>
          </w:p>
        </w:tc>
        <w:tc>
          <w:tcPr>
            <w:tcW w:w="984" w:type="pct"/>
            <w:shd w:val="clear" w:color="auto" w:fill="auto"/>
            <w:vAlign w:val="center"/>
          </w:tcPr>
          <w:p w14:paraId="7A1E93C5"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420,000,000</w:t>
            </w:r>
          </w:p>
        </w:tc>
        <w:tc>
          <w:tcPr>
            <w:tcW w:w="511" w:type="pct"/>
            <w:shd w:val="clear" w:color="auto" w:fill="auto"/>
            <w:vAlign w:val="center"/>
          </w:tcPr>
          <w:p w14:paraId="0217F11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0.39%</w:t>
            </w:r>
          </w:p>
        </w:tc>
        <w:tc>
          <w:tcPr>
            <w:tcW w:w="1135" w:type="pct"/>
            <w:shd w:val="clear" w:color="auto" w:fill="auto"/>
            <w:vAlign w:val="center"/>
          </w:tcPr>
          <w:p w14:paraId="6B89CBC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450,000,000</w:t>
            </w:r>
          </w:p>
        </w:tc>
      </w:tr>
      <w:tr w:rsidR="00D05683" w:rsidRPr="00AF57E7" w14:paraId="444EEBC7" w14:textId="77777777" w:rsidTr="00655BCE">
        <w:tblPrEx>
          <w:jc w:val="left"/>
        </w:tblPrEx>
        <w:tc>
          <w:tcPr>
            <w:tcW w:w="366" w:type="pct"/>
            <w:shd w:val="clear" w:color="auto" w:fill="auto"/>
            <w:vAlign w:val="center"/>
          </w:tcPr>
          <w:p w14:paraId="218E702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1539" w:type="pct"/>
            <w:shd w:val="clear" w:color="auto" w:fill="auto"/>
            <w:vAlign w:val="center"/>
          </w:tcPr>
          <w:p w14:paraId="7072524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Community social work fund</w:t>
            </w:r>
          </w:p>
        </w:tc>
        <w:tc>
          <w:tcPr>
            <w:tcW w:w="465" w:type="pct"/>
            <w:shd w:val="clear" w:color="auto" w:fill="auto"/>
            <w:vAlign w:val="center"/>
          </w:tcPr>
          <w:p w14:paraId="6CCC39A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1.5%</w:t>
            </w:r>
          </w:p>
        </w:tc>
        <w:tc>
          <w:tcPr>
            <w:tcW w:w="984" w:type="pct"/>
            <w:shd w:val="clear" w:color="auto" w:fill="auto"/>
            <w:vAlign w:val="center"/>
          </w:tcPr>
          <w:p w14:paraId="71CC81E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1,672,905,000</w:t>
            </w:r>
          </w:p>
        </w:tc>
        <w:tc>
          <w:tcPr>
            <w:tcW w:w="511" w:type="pct"/>
            <w:shd w:val="clear" w:color="auto" w:fill="auto"/>
            <w:vAlign w:val="center"/>
          </w:tcPr>
          <w:p w14:paraId="4D9F4FD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1.5%</w:t>
            </w:r>
          </w:p>
        </w:tc>
        <w:tc>
          <w:tcPr>
            <w:tcW w:w="1135" w:type="pct"/>
            <w:shd w:val="clear" w:color="auto" w:fill="auto"/>
            <w:vAlign w:val="center"/>
          </w:tcPr>
          <w:p w14:paraId="73C76A88"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1,745,492,766</w:t>
            </w:r>
          </w:p>
        </w:tc>
      </w:tr>
      <w:tr w:rsidR="00D05683" w:rsidRPr="00AF57E7" w14:paraId="0C529DD3" w14:textId="77777777" w:rsidTr="00655BCE">
        <w:tblPrEx>
          <w:jc w:val="left"/>
        </w:tblPrEx>
        <w:tc>
          <w:tcPr>
            <w:tcW w:w="366" w:type="pct"/>
            <w:shd w:val="clear" w:color="auto" w:fill="auto"/>
            <w:vAlign w:val="center"/>
          </w:tcPr>
          <w:p w14:paraId="22B7FB4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1539" w:type="pct"/>
            <w:shd w:val="clear" w:color="auto" w:fill="auto"/>
            <w:vAlign w:val="center"/>
          </w:tcPr>
          <w:p w14:paraId="072E8472" w14:textId="636802BE" w:rsidR="00D05683" w:rsidRPr="00AF57E7" w:rsidRDefault="00C01BDF"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szCs w:val="20"/>
              </w:rPr>
              <w:t>Bonus fund for related parties</w:t>
            </w:r>
          </w:p>
        </w:tc>
        <w:tc>
          <w:tcPr>
            <w:tcW w:w="465" w:type="pct"/>
            <w:shd w:val="clear" w:color="auto" w:fill="auto"/>
            <w:vAlign w:val="center"/>
          </w:tcPr>
          <w:p w14:paraId="1E9BB3C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w:t>
            </w:r>
          </w:p>
        </w:tc>
        <w:tc>
          <w:tcPr>
            <w:tcW w:w="984" w:type="pct"/>
            <w:shd w:val="clear" w:color="auto" w:fill="auto"/>
            <w:vAlign w:val="center"/>
          </w:tcPr>
          <w:p w14:paraId="564B9847"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1,115,270,000</w:t>
            </w:r>
          </w:p>
        </w:tc>
        <w:tc>
          <w:tcPr>
            <w:tcW w:w="511" w:type="pct"/>
            <w:shd w:val="clear" w:color="auto" w:fill="auto"/>
            <w:vAlign w:val="center"/>
          </w:tcPr>
          <w:p w14:paraId="2D1DB93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w:t>
            </w:r>
          </w:p>
        </w:tc>
        <w:tc>
          <w:tcPr>
            <w:tcW w:w="1135" w:type="pct"/>
            <w:shd w:val="clear" w:color="auto" w:fill="auto"/>
            <w:vAlign w:val="center"/>
          </w:tcPr>
          <w:p w14:paraId="6857D35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1,163,661,844</w:t>
            </w:r>
          </w:p>
        </w:tc>
      </w:tr>
      <w:tr w:rsidR="00D05683" w:rsidRPr="00AF57E7" w14:paraId="2C248B99" w14:textId="77777777" w:rsidTr="00655BCE">
        <w:tblPrEx>
          <w:jc w:val="left"/>
        </w:tblPrEx>
        <w:tc>
          <w:tcPr>
            <w:tcW w:w="366" w:type="pct"/>
            <w:shd w:val="clear" w:color="auto" w:fill="auto"/>
            <w:vAlign w:val="center"/>
          </w:tcPr>
          <w:p w14:paraId="587D617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7</w:t>
            </w:r>
          </w:p>
        </w:tc>
        <w:tc>
          <w:tcPr>
            <w:tcW w:w="1539" w:type="pct"/>
            <w:shd w:val="clear" w:color="auto" w:fill="auto"/>
            <w:vAlign w:val="center"/>
          </w:tcPr>
          <w:p w14:paraId="5D1227AA" w14:textId="283E1315"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after appropriation for funds</w:t>
            </w:r>
          </w:p>
        </w:tc>
        <w:tc>
          <w:tcPr>
            <w:tcW w:w="465" w:type="pct"/>
            <w:shd w:val="clear" w:color="auto" w:fill="auto"/>
            <w:vAlign w:val="center"/>
          </w:tcPr>
          <w:p w14:paraId="1C889F7E"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405B6C7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91,726,125,000</w:t>
            </w:r>
          </w:p>
        </w:tc>
        <w:tc>
          <w:tcPr>
            <w:tcW w:w="511" w:type="pct"/>
            <w:shd w:val="clear" w:color="auto" w:fill="auto"/>
            <w:vAlign w:val="center"/>
          </w:tcPr>
          <w:p w14:paraId="0E5D7E02"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33B7C59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94,740,411,343</w:t>
            </w:r>
          </w:p>
        </w:tc>
      </w:tr>
      <w:tr w:rsidR="00D05683" w:rsidRPr="00AF57E7" w14:paraId="75071CBE" w14:textId="77777777" w:rsidTr="00655BCE">
        <w:tblPrEx>
          <w:jc w:val="left"/>
        </w:tblPrEx>
        <w:tc>
          <w:tcPr>
            <w:tcW w:w="366" w:type="pct"/>
            <w:shd w:val="clear" w:color="auto" w:fill="auto"/>
            <w:vAlign w:val="center"/>
          </w:tcPr>
          <w:p w14:paraId="110C4094"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8</w:t>
            </w:r>
          </w:p>
        </w:tc>
        <w:tc>
          <w:tcPr>
            <w:tcW w:w="1539" w:type="pct"/>
            <w:shd w:val="clear" w:color="auto" w:fill="auto"/>
            <w:vAlign w:val="center"/>
          </w:tcPr>
          <w:p w14:paraId="1E1638FF" w14:textId="5C953995"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Remaining profit from previous years</w:t>
            </w:r>
          </w:p>
        </w:tc>
        <w:tc>
          <w:tcPr>
            <w:tcW w:w="465" w:type="pct"/>
            <w:shd w:val="clear" w:color="auto" w:fill="auto"/>
            <w:vAlign w:val="center"/>
          </w:tcPr>
          <w:p w14:paraId="55955033"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5C328BE4"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90,688,822,686</w:t>
            </w:r>
          </w:p>
        </w:tc>
        <w:tc>
          <w:tcPr>
            <w:tcW w:w="511" w:type="pct"/>
            <w:shd w:val="clear" w:color="auto" w:fill="auto"/>
            <w:vAlign w:val="center"/>
          </w:tcPr>
          <w:p w14:paraId="1A2DA217"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63B01449"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90,688,822,686</w:t>
            </w:r>
          </w:p>
        </w:tc>
      </w:tr>
      <w:tr w:rsidR="00D05683" w:rsidRPr="00AF57E7" w14:paraId="6780F600" w14:textId="77777777" w:rsidTr="00655BCE">
        <w:tblPrEx>
          <w:jc w:val="left"/>
        </w:tblPrEx>
        <w:tc>
          <w:tcPr>
            <w:tcW w:w="366" w:type="pct"/>
            <w:shd w:val="clear" w:color="auto" w:fill="auto"/>
            <w:vAlign w:val="center"/>
          </w:tcPr>
          <w:p w14:paraId="2CE69844"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w:t>
            </w:r>
          </w:p>
        </w:tc>
        <w:tc>
          <w:tcPr>
            <w:tcW w:w="1539" w:type="pct"/>
            <w:shd w:val="clear" w:color="auto" w:fill="auto"/>
            <w:vAlign w:val="center"/>
          </w:tcPr>
          <w:p w14:paraId="256C2A44" w14:textId="182FF3BC"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Total </w:t>
            </w:r>
            <w:r w:rsidR="00C01BDF" w:rsidRPr="00AF57E7">
              <w:rPr>
                <w:rFonts w:ascii="Arial" w:hAnsi="Arial" w:cs="Arial"/>
                <w:color w:val="010000"/>
                <w:sz w:val="20"/>
              </w:rPr>
              <w:t>remaining</w:t>
            </w:r>
            <w:r w:rsidRPr="00AF57E7">
              <w:rPr>
                <w:rFonts w:ascii="Arial" w:hAnsi="Arial" w:cs="Arial"/>
                <w:color w:val="010000"/>
                <w:sz w:val="20"/>
              </w:rPr>
              <w:t xml:space="preserve"> profit</w:t>
            </w:r>
          </w:p>
        </w:tc>
        <w:tc>
          <w:tcPr>
            <w:tcW w:w="465" w:type="pct"/>
            <w:shd w:val="clear" w:color="auto" w:fill="auto"/>
            <w:vAlign w:val="center"/>
          </w:tcPr>
          <w:p w14:paraId="419E4A12"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708C666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182,414,947,686</w:t>
            </w:r>
          </w:p>
        </w:tc>
        <w:tc>
          <w:tcPr>
            <w:tcW w:w="511" w:type="pct"/>
            <w:shd w:val="clear" w:color="auto" w:fill="auto"/>
            <w:vAlign w:val="center"/>
          </w:tcPr>
          <w:p w14:paraId="55429E9E"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77CBFB9F"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185,429,234,029</w:t>
            </w:r>
          </w:p>
        </w:tc>
      </w:tr>
      <w:tr w:rsidR="00D05683" w:rsidRPr="00AF57E7" w14:paraId="6E814947" w14:textId="77777777" w:rsidTr="00655BCE">
        <w:tblPrEx>
          <w:jc w:val="left"/>
        </w:tblPrEx>
        <w:tc>
          <w:tcPr>
            <w:tcW w:w="366" w:type="pct"/>
            <w:shd w:val="clear" w:color="auto" w:fill="auto"/>
            <w:vAlign w:val="center"/>
          </w:tcPr>
          <w:p w14:paraId="596A45ED"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w:t>
            </w:r>
          </w:p>
        </w:tc>
        <w:tc>
          <w:tcPr>
            <w:tcW w:w="1539" w:type="pct"/>
            <w:shd w:val="clear" w:color="auto" w:fill="auto"/>
            <w:vAlign w:val="center"/>
          </w:tcPr>
          <w:p w14:paraId="5D096C7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Dividend payment</w:t>
            </w:r>
          </w:p>
        </w:tc>
        <w:tc>
          <w:tcPr>
            <w:tcW w:w="465" w:type="pct"/>
            <w:shd w:val="clear" w:color="auto" w:fill="auto"/>
            <w:vAlign w:val="center"/>
          </w:tcPr>
          <w:p w14:paraId="4D92E32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25.0%</w:t>
            </w:r>
          </w:p>
        </w:tc>
        <w:tc>
          <w:tcPr>
            <w:tcW w:w="984" w:type="pct"/>
            <w:shd w:val="clear" w:color="auto" w:fill="auto"/>
            <w:vAlign w:val="center"/>
          </w:tcPr>
          <w:p w14:paraId="172030EC"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75,000,000,000</w:t>
            </w:r>
          </w:p>
        </w:tc>
        <w:tc>
          <w:tcPr>
            <w:tcW w:w="511" w:type="pct"/>
            <w:shd w:val="clear" w:color="auto" w:fill="auto"/>
            <w:vAlign w:val="center"/>
          </w:tcPr>
          <w:p w14:paraId="49018F99"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35%</w:t>
            </w:r>
          </w:p>
        </w:tc>
        <w:tc>
          <w:tcPr>
            <w:tcW w:w="1135" w:type="pct"/>
            <w:shd w:val="clear" w:color="auto" w:fill="auto"/>
            <w:vAlign w:val="center"/>
          </w:tcPr>
          <w:p w14:paraId="5BEEAD75"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105,000,000,000</w:t>
            </w:r>
          </w:p>
        </w:tc>
      </w:tr>
      <w:tr w:rsidR="00D05683" w:rsidRPr="00AF57E7" w14:paraId="1FE18E90" w14:textId="77777777" w:rsidTr="00655BCE">
        <w:tblPrEx>
          <w:jc w:val="left"/>
        </w:tblPrEx>
        <w:tc>
          <w:tcPr>
            <w:tcW w:w="366" w:type="pct"/>
            <w:shd w:val="clear" w:color="auto" w:fill="auto"/>
            <w:vAlign w:val="center"/>
          </w:tcPr>
          <w:p w14:paraId="70E51895"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10.1</w:t>
            </w:r>
          </w:p>
        </w:tc>
        <w:tc>
          <w:tcPr>
            <w:tcW w:w="1539" w:type="pct"/>
            <w:shd w:val="clear" w:color="auto" w:fill="auto"/>
            <w:vAlign w:val="center"/>
          </w:tcPr>
          <w:p w14:paraId="1FED0CA2" w14:textId="55E09CDB" w:rsidR="00D05683" w:rsidRPr="00AF57E7" w:rsidRDefault="00C01BDF"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D</w:t>
            </w:r>
            <w:r w:rsidR="00D05683" w:rsidRPr="00AF57E7">
              <w:rPr>
                <w:rFonts w:ascii="Arial" w:hAnsi="Arial" w:cs="Arial"/>
                <w:color w:val="010000"/>
                <w:sz w:val="20"/>
              </w:rPr>
              <w:t>ividend</w:t>
            </w:r>
            <w:r w:rsidRPr="00AF57E7">
              <w:rPr>
                <w:rFonts w:ascii="Arial" w:hAnsi="Arial" w:cs="Arial"/>
                <w:color w:val="010000"/>
                <w:sz w:val="20"/>
              </w:rPr>
              <w:t xml:space="preserve"> </w:t>
            </w:r>
            <w:r w:rsidR="00AF57E7" w:rsidRPr="00AF57E7">
              <w:rPr>
                <w:rFonts w:ascii="Arial" w:hAnsi="Arial" w:cs="Arial"/>
                <w:color w:val="010000"/>
                <w:sz w:val="20"/>
              </w:rPr>
              <w:t>prepayment</w:t>
            </w:r>
            <w:r w:rsidRPr="00AF57E7">
              <w:rPr>
                <w:rFonts w:ascii="Arial" w:hAnsi="Arial" w:cs="Arial"/>
                <w:color w:val="010000"/>
                <w:sz w:val="20"/>
              </w:rPr>
              <w:t xml:space="preserve"> </w:t>
            </w:r>
            <w:r w:rsidR="00D05683" w:rsidRPr="00AF57E7">
              <w:rPr>
                <w:rFonts w:ascii="Arial" w:hAnsi="Arial" w:cs="Arial"/>
                <w:color w:val="010000"/>
                <w:sz w:val="20"/>
              </w:rPr>
              <w:t>made during the year (12% of charter capital)</w:t>
            </w:r>
          </w:p>
        </w:tc>
        <w:tc>
          <w:tcPr>
            <w:tcW w:w="465" w:type="pct"/>
            <w:shd w:val="clear" w:color="auto" w:fill="auto"/>
            <w:vAlign w:val="center"/>
          </w:tcPr>
          <w:p w14:paraId="640A6A1B"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7E95840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511" w:type="pct"/>
            <w:shd w:val="clear" w:color="auto" w:fill="auto"/>
            <w:vAlign w:val="center"/>
          </w:tcPr>
          <w:p w14:paraId="48F78BF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12%</w:t>
            </w:r>
          </w:p>
        </w:tc>
        <w:tc>
          <w:tcPr>
            <w:tcW w:w="1135" w:type="pct"/>
            <w:shd w:val="clear" w:color="auto" w:fill="auto"/>
            <w:vAlign w:val="center"/>
          </w:tcPr>
          <w:p w14:paraId="5BC140D8"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36,000,000,000</w:t>
            </w:r>
          </w:p>
        </w:tc>
      </w:tr>
      <w:tr w:rsidR="00D05683" w:rsidRPr="00AF57E7" w14:paraId="6F3F0B0C" w14:textId="77777777" w:rsidTr="00655BCE">
        <w:tblPrEx>
          <w:jc w:val="left"/>
        </w:tblPrEx>
        <w:tc>
          <w:tcPr>
            <w:tcW w:w="366" w:type="pct"/>
            <w:shd w:val="clear" w:color="auto" w:fill="auto"/>
            <w:vAlign w:val="center"/>
          </w:tcPr>
          <w:p w14:paraId="2B26F9F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10.2</w:t>
            </w:r>
          </w:p>
        </w:tc>
        <w:tc>
          <w:tcPr>
            <w:tcW w:w="1539" w:type="pct"/>
            <w:shd w:val="clear" w:color="auto" w:fill="auto"/>
            <w:vAlign w:val="center"/>
          </w:tcPr>
          <w:p w14:paraId="11502F6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Remaining dividends</w:t>
            </w:r>
          </w:p>
        </w:tc>
        <w:tc>
          <w:tcPr>
            <w:tcW w:w="465" w:type="pct"/>
            <w:shd w:val="clear" w:color="auto" w:fill="auto"/>
            <w:vAlign w:val="center"/>
          </w:tcPr>
          <w:p w14:paraId="4C38595D"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28C92CCA"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511" w:type="pct"/>
            <w:shd w:val="clear" w:color="auto" w:fill="auto"/>
            <w:vAlign w:val="center"/>
          </w:tcPr>
          <w:p w14:paraId="48C7F95B"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23%</w:t>
            </w:r>
          </w:p>
        </w:tc>
        <w:tc>
          <w:tcPr>
            <w:tcW w:w="1135" w:type="pct"/>
            <w:shd w:val="clear" w:color="auto" w:fill="auto"/>
            <w:vAlign w:val="center"/>
          </w:tcPr>
          <w:p w14:paraId="3AB5E5D6"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69,000,000,000</w:t>
            </w:r>
          </w:p>
        </w:tc>
      </w:tr>
      <w:tr w:rsidR="00D05683" w:rsidRPr="00AF57E7" w14:paraId="5ABC6970" w14:textId="77777777" w:rsidTr="00655BCE">
        <w:tblPrEx>
          <w:jc w:val="left"/>
        </w:tblPrEx>
        <w:tc>
          <w:tcPr>
            <w:tcW w:w="366" w:type="pct"/>
            <w:shd w:val="clear" w:color="auto" w:fill="auto"/>
            <w:vAlign w:val="center"/>
          </w:tcPr>
          <w:p w14:paraId="6097B01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w:t>
            </w:r>
          </w:p>
        </w:tc>
        <w:tc>
          <w:tcPr>
            <w:tcW w:w="1539" w:type="pct"/>
            <w:shd w:val="clear" w:color="auto" w:fill="auto"/>
            <w:vAlign w:val="center"/>
          </w:tcPr>
          <w:p w14:paraId="364A3473" w14:textId="6F9FB2A4"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Remaining profit transferred to the next year</w:t>
            </w:r>
          </w:p>
        </w:tc>
        <w:tc>
          <w:tcPr>
            <w:tcW w:w="465" w:type="pct"/>
            <w:shd w:val="clear" w:color="auto" w:fill="auto"/>
            <w:vAlign w:val="center"/>
          </w:tcPr>
          <w:p w14:paraId="57CAE310"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984" w:type="pct"/>
            <w:shd w:val="clear" w:color="auto" w:fill="auto"/>
            <w:vAlign w:val="center"/>
          </w:tcPr>
          <w:p w14:paraId="1D75BB00"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107,414,947,686</w:t>
            </w:r>
          </w:p>
        </w:tc>
        <w:tc>
          <w:tcPr>
            <w:tcW w:w="511" w:type="pct"/>
            <w:shd w:val="clear" w:color="auto" w:fill="auto"/>
            <w:vAlign w:val="center"/>
          </w:tcPr>
          <w:p w14:paraId="4893AED7" w14:textId="77777777" w:rsidR="00D05683" w:rsidRPr="00AF57E7" w:rsidRDefault="00D05683" w:rsidP="00D03957">
            <w:pPr>
              <w:tabs>
                <w:tab w:val="left" w:pos="432"/>
              </w:tabs>
              <w:spacing w:after="120" w:line="360" w:lineRule="auto"/>
              <w:jc w:val="both"/>
              <w:rPr>
                <w:rFonts w:ascii="Arial" w:hAnsi="Arial" w:cs="Arial"/>
                <w:color w:val="010000"/>
                <w:sz w:val="20"/>
                <w:szCs w:val="20"/>
              </w:rPr>
            </w:pPr>
          </w:p>
        </w:tc>
        <w:tc>
          <w:tcPr>
            <w:tcW w:w="1135" w:type="pct"/>
            <w:shd w:val="clear" w:color="auto" w:fill="auto"/>
            <w:vAlign w:val="center"/>
          </w:tcPr>
          <w:p w14:paraId="64A73EA7"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80,429,234,029</w:t>
            </w:r>
          </w:p>
          <w:p w14:paraId="7F1B709E" w14:textId="77777777" w:rsidR="00D05683" w:rsidRPr="00AF57E7" w:rsidRDefault="00D05683" w:rsidP="00D03957">
            <w:pPr>
              <w:pStyle w:val="Khc0"/>
              <w:tabs>
                <w:tab w:val="left" w:pos="432"/>
              </w:tabs>
              <w:spacing w:after="120" w:line="360" w:lineRule="auto"/>
              <w:ind w:firstLine="0"/>
              <w:jc w:val="both"/>
              <w:rPr>
                <w:rFonts w:ascii="Arial" w:hAnsi="Arial" w:cs="Arial"/>
                <w:color w:val="010000"/>
                <w:sz w:val="20"/>
                <w:szCs w:val="20"/>
              </w:rPr>
            </w:pPr>
          </w:p>
        </w:tc>
      </w:tr>
    </w:tbl>
    <w:p w14:paraId="0925DA43" w14:textId="77777777" w:rsidR="007428D2" w:rsidRPr="00AF57E7" w:rsidRDefault="002941E4" w:rsidP="00D03957">
      <w:pPr>
        <w:tabs>
          <w:tab w:val="left" w:pos="432"/>
        </w:tabs>
        <w:spacing w:after="120" w:line="360" w:lineRule="auto"/>
        <w:jc w:val="both"/>
        <w:rPr>
          <w:rFonts w:ascii="Arial" w:hAnsi="Arial" w:cs="Arial"/>
          <w:color w:val="010000"/>
          <w:sz w:val="20"/>
          <w:szCs w:val="20"/>
        </w:rPr>
      </w:pPr>
      <w:r w:rsidRPr="00AF57E7">
        <w:rPr>
          <w:rFonts w:ascii="Arial" w:hAnsi="Arial" w:cs="Arial"/>
          <w:color w:val="010000"/>
          <w:sz w:val="20"/>
        </w:rPr>
        <w:t>(*) The annual corporate income tax target is a provisional estimate</w:t>
      </w:r>
    </w:p>
    <w:p w14:paraId="0C32F763" w14:textId="77777777"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The employee bonus and welfare fund and the manager's bonus fund comply with the provisions of Circular 28/2016/TT-BLDTBXH on the basis that the realized profit after tax in 2023 exceeds 4.3% of the year plan.</w:t>
      </w:r>
    </w:p>
    <w:p w14:paraId="1A49498A" w14:textId="77777777" w:rsidR="007428D2" w:rsidRPr="00AF57E7" w:rsidRDefault="002941E4" w:rsidP="00D03957">
      <w:pPr>
        <w:pStyle w:val="Vnbnnidung0"/>
        <w:numPr>
          <w:ilvl w:val="0"/>
          <w:numId w:val="8"/>
        </w:numPr>
        <w:tabs>
          <w:tab w:val="left" w:pos="43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Approve production and business plan and profit distribution plan for 2024;</w:t>
      </w:r>
    </w:p>
    <w:p w14:paraId="0896EBEF" w14:textId="77777777"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Based on the production and business plan for 2024, deductions for employee welfare and reward funds and manager bonus funds will be calculated according to the provisions of Circular No. 28/2016/TT-BLDTBXH as follows:</w:t>
      </w:r>
    </w:p>
    <w:p w14:paraId="20E5D72A" w14:textId="77777777"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Unit: VND</w:t>
      </w:r>
    </w:p>
    <w:tbl>
      <w:tblPr>
        <w:tblpPr w:leftFromText="180" w:rightFromText="180" w:vertAnchor="text" w:horzAnchor="page" w:tblpX="1461" w:tblpY="1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56"/>
        <w:gridCol w:w="3694"/>
        <w:gridCol w:w="1598"/>
        <w:gridCol w:w="2662"/>
      </w:tblGrid>
      <w:tr w:rsidR="007428D2" w:rsidRPr="00AF57E7" w14:paraId="10CE91C9" w14:textId="77777777" w:rsidTr="00C01BDF">
        <w:tc>
          <w:tcPr>
            <w:tcW w:w="586" w:type="pct"/>
            <w:vMerge w:val="restart"/>
            <w:shd w:val="clear" w:color="auto" w:fill="auto"/>
            <w:vAlign w:val="center"/>
          </w:tcPr>
          <w:p w14:paraId="2C7C2799" w14:textId="77777777" w:rsidR="007428D2" w:rsidRPr="00AF57E7" w:rsidRDefault="007428D2" w:rsidP="00D03957">
            <w:pPr>
              <w:tabs>
                <w:tab w:val="left" w:pos="432"/>
              </w:tabs>
              <w:spacing w:after="120" w:line="360" w:lineRule="auto"/>
              <w:ind w:left="-303"/>
              <w:jc w:val="both"/>
              <w:rPr>
                <w:rFonts w:ascii="Arial" w:hAnsi="Arial" w:cs="Arial"/>
                <w:color w:val="010000"/>
                <w:sz w:val="20"/>
                <w:szCs w:val="20"/>
              </w:rPr>
            </w:pPr>
          </w:p>
        </w:tc>
        <w:tc>
          <w:tcPr>
            <w:tcW w:w="2050" w:type="pct"/>
            <w:vMerge w:val="restart"/>
            <w:shd w:val="clear" w:color="auto" w:fill="auto"/>
            <w:vAlign w:val="center"/>
          </w:tcPr>
          <w:p w14:paraId="3207DB0B"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Content</w:t>
            </w:r>
          </w:p>
        </w:tc>
        <w:tc>
          <w:tcPr>
            <w:tcW w:w="2364" w:type="pct"/>
            <w:gridSpan w:val="2"/>
            <w:shd w:val="clear" w:color="auto" w:fill="auto"/>
            <w:vAlign w:val="center"/>
          </w:tcPr>
          <w:p w14:paraId="726B1341" w14:textId="3D5AA067" w:rsidR="007428D2" w:rsidRPr="00AF57E7" w:rsidRDefault="00C01BDF"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2024 </w:t>
            </w:r>
            <w:r w:rsidR="002941E4" w:rsidRPr="00AF57E7">
              <w:rPr>
                <w:rFonts w:ascii="Arial" w:hAnsi="Arial" w:cs="Arial"/>
                <w:color w:val="010000"/>
                <w:sz w:val="20"/>
              </w:rPr>
              <w:t>Plan</w:t>
            </w:r>
          </w:p>
        </w:tc>
      </w:tr>
      <w:tr w:rsidR="007428D2" w:rsidRPr="00AF57E7" w14:paraId="75EC7B9F" w14:textId="77777777" w:rsidTr="00C01BDF">
        <w:tc>
          <w:tcPr>
            <w:tcW w:w="586" w:type="pct"/>
            <w:vMerge/>
            <w:shd w:val="clear" w:color="auto" w:fill="auto"/>
            <w:vAlign w:val="center"/>
          </w:tcPr>
          <w:p w14:paraId="5FBB9885"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2050" w:type="pct"/>
            <w:vMerge/>
            <w:shd w:val="clear" w:color="auto" w:fill="auto"/>
            <w:vAlign w:val="center"/>
          </w:tcPr>
          <w:p w14:paraId="3AD7119D"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887" w:type="pct"/>
            <w:shd w:val="clear" w:color="auto" w:fill="auto"/>
            <w:vAlign w:val="center"/>
          </w:tcPr>
          <w:p w14:paraId="67CB921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Rate</w:t>
            </w:r>
          </w:p>
        </w:tc>
        <w:tc>
          <w:tcPr>
            <w:tcW w:w="1477" w:type="pct"/>
            <w:shd w:val="clear" w:color="auto" w:fill="auto"/>
            <w:vAlign w:val="center"/>
          </w:tcPr>
          <w:p w14:paraId="07AF94C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Amount</w:t>
            </w:r>
          </w:p>
        </w:tc>
      </w:tr>
      <w:tr w:rsidR="007428D2" w:rsidRPr="00AF57E7" w14:paraId="69D8C479" w14:textId="77777777" w:rsidTr="00C01BDF">
        <w:tc>
          <w:tcPr>
            <w:tcW w:w="586" w:type="pct"/>
            <w:shd w:val="clear" w:color="auto" w:fill="auto"/>
            <w:vAlign w:val="center"/>
          </w:tcPr>
          <w:p w14:paraId="0C4F8C5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w:t>
            </w:r>
          </w:p>
        </w:tc>
        <w:tc>
          <w:tcPr>
            <w:tcW w:w="2050" w:type="pct"/>
            <w:shd w:val="clear" w:color="auto" w:fill="auto"/>
            <w:vAlign w:val="center"/>
          </w:tcPr>
          <w:p w14:paraId="62C75F3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Total revenue</w:t>
            </w:r>
          </w:p>
        </w:tc>
        <w:tc>
          <w:tcPr>
            <w:tcW w:w="887" w:type="pct"/>
            <w:shd w:val="clear" w:color="auto" w:fill="auto"/>
            <w:vAlign w:val="center"/>
          </w:tcPr>
          <w:p w14:paraId="159D7025"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53E3EBC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519,909,000,000</w:t>
            </w:r>
          </w:p>
        </w:tc>
      </w:tr>
      <w:tr w:rsidR="007428D2" w:rsidRPr="00AF57E7" w14:paraId="41E6A694" w14:textId="77777777" w:rsidTr="00C01BDF">
        <w:tc>
          <w:tcPr>
            <w:tcW w:w="586" w:type="pct"/>
            <w:shd w:val="clear" w:color="auto" w:fill="auto"/>
            <w:vAlign w:val="center"/>
          </w:tcPr>
          <w:p w14:paraId="3BF642FA"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w:t>
            </w:r>
          </w:p>
        </w:tc>
        <w:tc>
          <w:tcPr>
            <w:tcW w:w="2050" w:type="pct"/>
            <w:shd w:val="clear" w:color="auto" w:fill="auto"/>
            <w:vAlign w:val="center"/>
          </w:tcPr>
          <w:p w14:paraId="717455A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Total expenses</w:t>
            </w:r>
          </w:p>
        </w:tc>
        <w:tc>
          <w:tcPr>
            <w:tcW w:w="887" w:type="pct"/>
            <w:shd w:val="clear" w:color="auto" w:fill="auto"/>
            <w:vAlign w:val="center"/>
          </w:tcPr>
          <w:p w14:paraId="1707940F"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18C7BE9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286,306,000,000</w:t>
            </w:r>
          </w:p>
        </w:tc>
      </w:tr>
      <w:tr w:rsidR="007428D2" w:rsidRPr="00AF57E7" w14:paraId="4B5A0525" w14:textId="77777777" w:rsidTr="00C01BDF">
        <w:tc>
          <w:tcPr>
            <w:tcW w:w="586" w:type="pct"/>
            <w:shd w:val="clear" w:color="auto" w:fill="auto"/>
            <w:vAlign w:val="center"/>
          </w:tcPr>
          <w:p w14:paraId="489156CE"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w:t>
            </w:r>
          </w:p>
        </w:tc>
        <w:tc>
          <w:tcPr>
            <w:tcW w:w="2050" w:type="pct"/>
            <w:shd w:val="clear" w:color="auto" w:fill="auto"/>
            <w:vAlign w:val="center"/>
          </w:tcPr>
          <w:p w14:paraId="0ABBEAEA"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before tax</w:t>
            </w:r>
          </w:p>
        </w:tc>
        <w:tc>
          <w:tcPr>
            <w:tcW w:w="887" w:type="pct"/>
            <w:shd w:val="clear" w:color="auto" w:fill="auto"/>
            <w:vAlign w:val="center"/>
          </w:tcPr>
          <w:p w14:paraId="662FD0D2"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536B02D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233,603,000,000</w:t>
            </w:r>
          </w:p>
        </w:tc>
      </w:tr>
      <w:tr w:rsidR="007428D2" w:rsidRPr="00AF57E7" w14:paraId="0A8EF10B" w14:textId="77777777" w:rsidTr="00C01BDF">
        <w:tc>
          <w:tcPr>
            <w:tcW w:w="586" w:type="pct"/>
            <w:shd w:val="clear" w:color="auto" w:fill="auto"/>
            <w:vAlign w:val="center"/>
          </w:tcPr>
          <w:p w14:paraId="5784380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lastRenderedPageBreak/>
              <w:t>4</w:t>
            </w:r>
          </w:p>
        </w:tc>
        <w:tc>
          <w:tcPr>
            <w:tcW w:w="2050" w:type="pct"/>
            <w:shd w:val="clear" w:color="auto" w:fill="auto"/>
            <w:vAlign w:val="center"/>
          </w:tcPr>
          <w:p w14:paraId="066556D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Corporate income tax</w:t>
            </w:r>
          </w:p>
        </w:tc>
        <w:tc>
          <w:tcPr>
            <w:tcW w:w="887" w:type="pct"/>
            <w:shd w:val="clear" w:color="auto" w:fill="auto"/>
            <w:vAlign w:val="center"/>
          </w:tcPr>
          <w:p w14:paraId="78C1D6E3"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3F5DBFA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44,326,000,000</w:t>
            </w:r>
          </w:p>
        </w:tc>
      </w:tr>
      <w:tr w:rsidR="007428D2" w:rsidRPr="00AF57E7" w14:paraId="7E2537AB" w14:textId="77777777" w:rsidTr="00C01BDF">
        <w:tc>
          <w:tcPr>
            <w:tcW w:w="586" w:type="pct"/>
            <w:shd w:val="clear" w:color="auto" w:fill="auto"/>
            <w:vAlign w:val="center"/>
          </w:tcPr>
          <w:p w14:paraId="28C1F86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w:t>
            </w:r>
          </w:p>
        </w:tc>
        <w:tc>
          <w:tcPr>
            <w:tcW w:w="2050" w:type="pct"/>
            <w:shd w:val="clear" w:color="auto" w:fill="auto"/>
            <w:vAlign w:val="center"/>
          </w:tcPr>
          <w:p w14:paraId="346282B9" w14:textId="2A10327F"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after tax</w:t>
            </w:r>
          </w:p>
        </w:tc>
        <w:tc>
          <w:tcPr>
            <w:tcW w:w="887" w:type="pct"/>
            <w:shd w:val="clear" w:color="auto" w:fill="auto"/>
            <w:vAlign w:val="center"/>
          </w:tcPr>
          <w:p w14:paraId="423DB2BF"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53FF246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189,277,000,000</w:t>
            </w:r>
          </w:p>
        </w:tc>
      </w:tr>
      <w:tr w:rsidR="007428D2" w:rsidRPr="00AF57E7" w14:paraId="545D5579" w14:textId="77777777" w:rsidTr="00C01BDF">
        <w:tc>
          <w:tcPr>
            <w:tcW w:w="586" w:type="pct"/>
            <w:shd w:val="clear" w:color="auto" w:fill="auto"/>
            <w:vAlign w:val="center"/>
          </w:tcPr>
          <w:p w14:paraId="74D5A5A9"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6</w:t>
            </w:r>
          </w:p>
        </w:tc>
        <w:tc>
          <w:tcPr>
            <w:tcW w:w="2050" w:type="pct"/>
            <w:shd w:val="clear" w:color="auto" w:fill="auto"/>
            <w:vAlign w:val="center"/>
          </w:tcPr>
          <w:p w14:paraId="43413F0D" w14:textId="4A6DEBD5"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Appropriation for funds</w:t>
            </w:r>
          </w:p>
        </w:tc>
        <w:tc>
          <w:tcPr>
            <w:tcW w:w="887" w:type="pct"/>
            <w:shd w:val="clear" w:color="auto" w:fill="auto"/>
            <w:vAlign w:val="center"/>
          </w:tcPr>
          <w:p w14:paraId="391CBCE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15.82%</w:t>
            </w:r>
          </w:p>
        </w:tc>
        <w:tc>
          <w:tcPr>
            <w:tcW w:w="1477" w:type="pct"/>
            <w:shd w:val="clear" w:color="auto" w:fill="auto"/>
            <w:vAlign w:val="center"/>
          </w:tcPr>
          <w:p w14:paraId="1E87A1F7"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29,949,625,000</w:t>
            </w:r>
          </w:p>
        </w:tc>
      </w:tr>
      <w:tr w:rsidR="007428D2" w:rsidRPr="00AF57E7" w14:paraId="6C5E4087" w14:textId="77777777" w:rsidTr="00C01BDF">
        <w:tc>
          <w:tcPr>
            <w:tcW w:w="586" w:type="pct"/>
            <w:shd w:val="clear" w:color="auto" w:fill="auto"/>
            <w:vAlign w:val="center"/>
          </w:tcPr>
          <w:p w14:paraId="1BA4ED8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2050" w:type="pct"/>
            <w:shd w:val="clear" w:color="auto" w:fill="auto"/>
            <w:vAlign w:val="center"/>
          </w:tcPr>
          <w:p w14:paraId="213852F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Investment and development fund</w:t>
            </w:r>
          </w:p>
        </w:tc>
        <w:tc>
          <w:tcPr>
            <w:tcW w:w="887" w:type="pct"/>
            <w:shd w:val="clear" w:color="auto" w:fill="auto"/>
            <w:vAlign w:val="center"/>
          </w:tcPr>
          <w:p w14:paraId="08D2C2AB"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10.0%</w:t>
            </w:r>
          </w:p>
        </w:tc>
        <w:tc>
          <w:tcPr>
            <w:tcW w:w="1477" w:type="pct"/>
            <w:shd w:val="clear" w:color="auto" w:fill="auto"/>
            <w:vAlign w:val="center"/>
          </w:tcPr>
          <w:p w14:paraId="1882C8CE"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18,927,700,000</w:t>
            </w:r>
          </w:p>
        </w:tc>
      </w:tr>
      <w:tr w:rsidR="007428D2" w:rsidRPr="00AF57E7" w14:paraId="40851C65" w14:textId="77777777" w:rsidTr="00C01BDF">
        <w:tc>
          <w:tcPr>
            <w:tcW w:w="586" w:type="pct"/>
            <w:shd w:val="clear" w:color="auto" w:fill="auto"/>
            <w:vAlign w:val="center"/>
          </w:tcPr>
          <w:p w14:paraId="76DE75F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2050" w:type="pct"/>
            <w:shd w:val="clear" w:color="auto" w:fill="auto"/>
            <w:vAlign w:val="center"/>
          </w:tcPr>
          <w:p w14:paraId="4F61BAB0"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Bonus and welfare fund for employees</w:t>
            </w:r>
          </w:p>
        </w:tc>
        <w:tc>
          <w:tcPr>
            <w:tcW w:w="887" w:type="pct"/>
            <w:shd w:val="clear" w:color="auto" w:fill="auto"/>
            <w:vAlign w:val="center"/>
          </w:tcPr>
          <w:p w14:paraId="7343BFE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3.03%</w:t>
            </w:r>
          </w:p>
        </w:tc>
        <w:tc>
          <w:tcPr>
            <w:tcW w:w="1477" w:type="pct"/>
            <w:shd w:val="clear" w:color="auto" w:fill="auto"/>
            <w:vAlign w:val="center"/>
          </w:tcPr>
          <w:p w14:paraId="09273767"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5,750,000,000</w:t>
            </w:r>
          </w:p>
        </w:tc>
      </w:tr>
      <w:tr w:rsidR="007428D2" w:rsidRPr="00AF57E7" w14:paraId="293593E2" w14:textId="77777777" w:rsidTr="00C01BDF">
        <w:tc>
          <w:tcPr>
            <w:tcW w:w="586" w:type="pct"/>
            <w:shd w:val="clear" w:color="auto" w:fill="auto"/>
            <w:vAlign w:val="center"/>
          </w:tcPr>
          <w:p w14:paraId="4D9F2E73"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2050" w:type="pct"/>
            <w:shd w:val="clear" w:color="auto" w:fill="auto"/>
            <w:vAlign w:val="center"/>
          </w:tcPr>
          <w:p w14:paraId="6EC5D0D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Bonus fund for managers</w:t>
            </w:r>
          </w:p>
        </w:tc>
        <w:tc>
          <w:tcPr>
            <w:tcW w:w="887" w:type="pct"/>
            <w:shd w:val="clear" w:color="auto" w:fill="auto"/>
            <w:vAlign w:val="center"/>
          </w:tcPr>
          <w:p w14:paraId="35EA750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0.29%</w:t>
            </w:r>
          </w:p>
        </w:tc>
        <w:tc>
          <w:tcPr>
            <w:tcW w:w="1477" w:type="pct"/>
            <w:shd w:val="clear" w:color="auto" w:fill="auto"/>
            <w:vAlign w:val="center"/>
          </w:tcPr>
          <w:p w14:paraId="7E98064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540,000,000</w:t>
            </w:r>
          </w:p>
        </w:tc>
      </w:tr>
      <w:tr w:rsidR="007428D2" w:rsidRPr="00AF57E7" w14:paraId="1ED68740" w14:textId="77777777" w:rsidTr="00C01BDF">
        <w:tc>
          <w:tcPr>
            <w:tcW w:w="586" w:type="pct"/>
            <w:shd w:val="clear" w:color="auto" w:fill="auto"/>
            <w:vAlign w:val="center"/>
          </w:tcPr>
          <w:p w14:paraId="077700A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2050" w:type="pct"/>
            <w:shd w:val="clear" w:color="auto" w:fill="auto"/>
            <w:vAlign w:val="center"/>
          </w:tcPr>
          <w:p w14:paraId="7B61897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Community social work fund</w:t>
            </w:r>
          </w:p>
        </w:tc>
        <w:tc>
          <w:tcPr>
            <w:tcW w:w="887" w:type="pct"/>
            <w:shd w:val="clear" w:color="auto" w:fill="auto"/>
            <w:vAlign w:val="center"/>
          </w:tcPr>
          <w:p w14:paraId="67E3A944"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1.50%</w:t>
            </w:r>
          </w:p>
        </w:tc>
        <w:tc>
          <w:tcPr>
            <w:tcW w:w="1477" w:type="pct"/>
            <w:shd w:val="clear" w:color="auto" w:fill="auto"/>
            <w:vAlign w:val="center"/>
          </w:tcPr>
          <w:p w14:paraId="23E18C77"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2,839,155,000</w:t>
            </w:r>
          </w:p>
        </w:tc>
      </w:tr>
      <w:tr w:rsidR="007428D2" w:rsidRPr="00AF57E7" w14:paraId="23F89871" w14:textId="77777777" w:rsidTr="00C01BDF">
        <w:tc>
          <w:tcPr>
            <w:tcW w:w="586" w:type="pct"/>
            <w:shd w:val="clear" w:color="auto" w:fill="auto"/>
            <w:vAlign w:val="center"/>
          </w:tcPr>
          <w:p w14:paraId="270F69C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w:t>
            </w:r>
          </w:p>
        </w:tc>
        <w:tc>
          <w:tcPr>
            <w:tcW w:w="2050" w:type="pct"/>
            <w:shd w:val="clear" w:color="auto" w:fill="auto"/>
            <w:vAlign w:val="center"/>
          </w:tcPr>
          <w:p w14:paraId="155AEF96" w14:textId="53DA607F" w:rsidR="007428D2" w:rsidRPr="00AF57E7" w:rsidRDefault="00C01BDF"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szCs w:val="20"/>
              </w:rPr>
              <w:t>Bonus fund for related parties</w:t>
            </w:r>
          </w:p>
        </w:tc>
        <w:tc>
          <w:tcPr>
            <w:tcW w:w="887" w:type="pct"/>
            <w:shd w:val="clear" w:color="auto" w:fill="auto"/>
            <w:vAlign w:val="center"/>
          </w:tcPr>
          <w:p w14:paraId="5CA6089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1.00%</w:t>
            </w:r>
          </w:p>
        </w:tc>
        <w:tc>
          <w:tcPr>
            <w:tcW w:w="1477" w:type="pct"/>
            <w:shd w:val="clear" w:color="auto" w:fill="auto"/>
            <w:vAlign w:val="center"/>
          </w:tcPr>
          <w:p w14:paraId="68A52E9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1,892,770,000</w:t>
            </w:r>
          </w:p>
        </w:tc>
      </w:tr>
      <w:tr w:rsidR="007428D2" w:rsidRPr="00AF57E7" w14:paraId="4A19AFE8" w14:textId="77777777" w:rsidTr="00C01BDF">
        <w:tc>
          <w:tcPr>
            <w:tcW w:w="586" w:type="pct"/>
            <w:shd w:val="clear" w:color="auto" w:fill="auto"/>
            <w:vAlign w:val="center"/>
          </w:tcPr>
          <w:p w14:paraId="12FCF52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7</w:t>
            </w:r>
          </w:p>
        </w:tc>
        <w:tc>
          <w:tcPr>
            <w:tcW w:w="2050" w:type="pct"/>
            <w:shd w:val="clear" w:color="auto" w:fill="auto"/>
            <w:vAlign w:val="center"/>
          </w:tcPr>
          <w:p w14:paraId="0D54B0CF" w14:textId="0969517A"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Profit after appropriation for funds</w:t>
            </w:r>
          </w:p>
        </w:tc>
        <w:tc>
          <w:tcPr>
            <w:tcW w:w="887" w:type="pct"/>
            <w:shd w:val="clear" w:color="auto" w:fill="auto"/>
            <w:vAlign w:val="center"/>
          </w:tcPr>
          <w:p w14:paraId="050FA30F"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43EF303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159,327,375,000</w:t>
            </w:r>
          </w:p>
        </w:tc>
      </w:tr>
      <w:tr w:rsidR="007428D2" w:rsidRPr="00AF57E7" w14:paraId="272EBD5E" w14:textId="77777777" w:rsidTr="00C01BDF">
        <w:tc>
          <w:tcPr>
            <w:tcW w:w="586" w:type="pct"/>
            <w:shd w:val="clear" w:color="auto" w:fill="auto"/>
            <w:vAlign w:val="center"/>
          </w:tcPr>
          <w:p w14:paraId="567E2FC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8</w:t>
            </w:r>
          </w:p>
        </w:tc>
        <w:tc>
          <w:tcPr>
            <w:tcW w:w="2050" w:type="pct"/>
            <w:shd w:val="clear" w:color="auto" w:fill="auto"/>
            <w:vAlign w:val="center"/>
          </w:tcPr>
          <w:p w14:paraId="41FB8643" w14:textId="5F582AD6"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Remaining profit from previous years</w:t>
            </w:r>
          </w:p>
        </w:tc>
        <w:tc>
          <w:tcPr>
            <w:tcW w:w="887" w:type="pct"/>
            <w:shd w:val="clear" w:color="auto" w:fill="auto"/>
            <w:vAlign w:val="center"/>
          </w:tcPr>
          <w:p w14:paraId="695A8F2E"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5233C58E"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80,429,234,029</w:t>
            </w:r>
          </w:p>
        </w:tc>
      </w:tr>
      <w:tr w:rsidR="007428D2" w:rsidRPr="00AF57E7" w14:paraId="2C075842" w14:textId="77777777" w:rsidTr="00C01BDF">
        <w:tc>
          <w:tcPr>
            <w:tcW w:w="586" w:type="pct"/>
            <w:shd w:val="clear" w:color="auto" w:fill="auto"/>
            <w:vAlign w:val="center"/>
          </w:tcPr>
          <w:p w14:paraId="47237E63"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9</w:t>
            </w:r>
          </w:p>
        </w:tc>
        <w:tc>
          <w:tcPr>
            <w:tcW w:w="2050" w:type="pct"/>
            <w:shd w:val="clear" w:color="auto" w:fill="auto"/>
            <w:vAlign w:val="center"/>
          </w:tcPr>
          <w:p w14:paraId="37B4817E" w14:textId="547034A0"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Total </w:t>
            </w:r>
            <w:r w:rsidR="00C01BDF" w:rsidRPr="00AF57E7">
              <w:rPr>
                <w:rFonts w:ascii="Arial" w:hAnsi="Arial" w:cs="Arial"/>
                <w:color w:val="010000"/>
                <w:sz w:val="20"/>
              </w:rPr>
              <w:t>remaining</w:t>
            </w:r>
            <w:r w:rsidRPr="00AF57E7">
              <w:rPr>
                <w:rFonts w:ascii="Arial" w:hAnsi="Arial" w:cs="Arial"/>
                <w:color w:val="010000"/>
                <w:sz w:val="20"/>
              </w:rPr>
              <w:t xml:space="preserve"> profit</w:t>
            </w:r>
          </w:p>
        </w:tc>
        <w:tc>
          <w:tcPr>
            <w:tcW w:w="887" w:type="pct"/>
            <w:shd w:val="clear" w:color="auto" w:fill="auto"/>
            <w:vAlign w:val="center"/>
          </w:tcPr>
          <w:p w14:paraId="22D89D56"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6B18A88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239,756,609,029</w:t>
            </w:r>
          </w:p>
        </w:tc>
      </w:tr>
      <w:tr w:rsidR="007428D2" w:rsidRPr="00AF57E7" w14:paraId="792B934F" w14:textId="77777777" w:rsidTr="00C01BDF">
        <w:tc>
          <w:tcPr>
            <w:tcW w:w="586" w:type="pct"/>
            <w:shd w:val="clear" w:color="auto" w:fill="auto"/>
            <w:vAlign w:val="center"/>
          </w:tcPr>
          <w:p w14:paraId="30D19B7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w:t>
            </w:r>
          </w:p>
        </w:tc>
        <w:tc>
          <w:tcPr>
            <w:tcW w:w="2050" w:type="pct"/>
            <w:shd w:val="clear" w:color="auto" w:fill="auto"/>
            <w:vAlign w:val="center"/>
          </w:tcPr>
          <w:p w14:paraId="7445121E"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Dividend payment</w:t>
            </w:r>
          </w:p>
        </w:tc>
        <w:tc>
          <w:tcPr>
            <w:tcW w:w="887" w:type="pct"/>
            <w:shd w:val="clear" w:color="auto" w:fill="auto"/>
            <w:vAlign w:val="center"/>
          </w:tcPr>
          <w:p w14:paraId="18D5017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35.0%</w:t>
            </w:r>
          </w:p>
        </w:tc>
        <w:tc>
          <w:tcPr>
            <w:tcW w:w="1477" w:type="pct"/>
            <w:shd w:val="clear" w:color="auto" w:fill="auto"/>
            <w:vAlign w:val="center"/>
          </w:tcPr>
          <w:p w14:paraId="3EA5C96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105,000,000,000</w:t>
            </w:r>
          </w:p>
        </w:tc>
      </w:tr>
      <w:tr w:rsidR="007428D2" w:rsidRPr="00AF57E7" w14:paraId="6E5B1CBD" w14:textId="77777777" w:rsidTr="00C01BDF">
        <w:tc>
          <w:tcPr>
            <w:tcW w:w="586" w:type="pct"/>
            <w:shd w:val="clear" w:color="auto" w:fill="auto"/>
            <w:vAlign w:val="center"/>
          </w:tcPr>
          <w:p w14:paraId="17BF2E52"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11</w:t>
            </w:r>
          </w:p>
        </w:tc>
        <w:tc>
          <w:tcPr>
            <w:tcW w:w="2050" w:type="pct"/>
            <w:shd w:val="clear" w:color="auto" w:fill="auto"/>
            <w:vAlign w:val="center"/>
          </w:tcPr>
          <w:p w14:paraId="1C60B39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Remaining profit transferred to the next year</w:t>
            </w:r>
          </w:p>
        </w:tc>
        <w:tc>
          <w:tcPr>
            <w:tcW w:w="887" w:type="pct"/>
            <w:shd w:val="clear" w:color="auto" w:fill="auto"/>
            <w:vAlign w:val="center"/>
          </w:tcPr>
          <w:p w14:paraId="44D588DC" w14:textId="77777777" w:rsidR="007428D2" w:rsidRPr="00AF57E7" w:rsidRDefault="007428D2" w:rsidP="00D03957">
            <w:pPr>
              <w:tabs>
                <w:tab w:val="left" w:pos="432"/>
              </w:tabs>
              <w:spacing w:after="120" w:line="360" w:lineRule="auto"/>
              <w:jc w:val="both"/>
              <w:rPr>
                <w:rFonts w:ascii="Arial" w:hAnsi="Arial" w:cs="Arial"/>
                <w:color w:val="010000"/>
                <w:sz w:val="20"/>
                <w:szCs w:val="20"/>
              </w:rPr>
            </w:pPr>
          </w:p>
        </w:tc>
        <w:tc>
          <w:tcPr>
            <w:tcW w:w="1477" w:type="pct"/>
            <w:shd w:val="clear" w:color="auto" w:fill="auto"/>
            <w:vAlign w:val="center"/>
          </w:tcPr>
          <w:p w14:paraId="4EF028D4"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134,756,609,029</w:t>
            </w:r>
          </w:p>
        </w:tc>
      </w:tr>
    </w:tbl>
    <w:p w14:paraId="386A62B1" w14:textId="2F246A85" w:rsidR="007428D2" w:rsidRPr="00AF57E7" w:rsidRDefault="002941E4" w:rsidP="00D03957">
      <w:pPr>
        <w:pStyle w:val="Chthchbng0"/>
        <w:tabs>
          <w:tab w:val="left" w:pos="432"/>
        </w:tabs>
        <w:spacing w:after="120" w:line="360" w:lineRule="auto"/>
        <w:jc w:val="both"/>
        <w:rPr>
          <w:rFonts w:ascii="Arial" w:hAnsi="Arial" w:cs="Arial"/>
          <w:i w:val="0"/>
          <w:iCs w:val="0"/>
          <w:color w:val="010000"/>
          <w:sz w:val="20"/>
          <w:szCs w:val="20"/>
        </w:rPr>
      </w:pPr>
      <w:r w:rsidRPr="00AF57E7">
        <w:rPr>
          <w:rFonts w:ascii="Arial" w:hAnsi="Arial" w:cs="Arial"/>
          <w:i w:val="0"/>
          <w:color w:val="010000"/>
          <w:sz w:val="20"/>
        </w:rPr>
        <w:t xml:space="preserve">(*) The </w:t>
      </w:r>
      <w:r w:rsidR="00C01BDF" w:rsidRPr="00AF57E7">
        <w:rPr>
          <w:rFonts w:ascii="Arial" w:hAnsi="Arial" w:cs="Arial"/>
          <w:i w:val="0"/>
          <w:color w:val="010000"/>
          <w:sz w:val="20"/>
        </w:rPr>
        <w:t xml:space="preserve">planned </w:t>
      </w:r>
      <w:r w:rsidRPr="00AF57E7">
        <w:rPr>
          <w:rFonts w:ascii="Arial" w:hAnsi="Arial" w:cs="Arial"/>
          <w:i w:val="0"/>
          <w:color w:val="010000"/>
          <w:sz w:val="20"/>
        </w:rPr>
        <w:t>annual corporate income tax target is a provisional estimate</w:t>
      </w:r>
    </w:p>
    <w:p w14:paraId="6458E6A8" w14:textId="0665CABC"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Article 8: Approve the salary of the </w:t>
      </w:r>
      <w:r w:rsidR="00620E7A" w:rsidRPr="00AF57E7">
        <w:rPr>
          <w:rFonts w:ascii="Arial" w:hAnsi="Arial" w:cs="Arial"/>
          <w:color w:val="010000"/>
          <w:sz w:val="20"/>
        </w:rPr>
        <w:t>Chief</w:t>
      </w:r>
      <w:r w:rsidRPr="00AF57E7">
        <w:rPr>
          <w:rFonts w:ascii="Arial" w:hAnsi="Arial" w:cs="Arial"/>
          <w:color w:val="010000"/>
          <w:sz w:val="20"/>
        </w:rPr>
        <w:t xml:space="preserve"> of the Supervisory Board, the remuneration </w:t>
      </w:r>
      <w:r w:rsidR="00620E7A" w:rsidRPr="00AF57E7">
        <w:rPr>
          <w:rFonts w:ascii="Arial" w:hAnsi="Arial" w:cs="Arial"/>
          <w:color w:val="010000"/>
          <w:sz w:val="20"/>
        </w:rPr>
        <w:t>for</w:t>
      </w:r>
      <w:r w:rsidRPr="00AF57E7">
        <w:rPr>
          <w:rFonts w:ascii="Arial" w:hAnsi="Arial" w:cs="Arial"/>
          <w:color w:val="010000"/>
          <w:sz w:val="20"/>
        </w:rPr>
        <w:t xml:space="preserve"> members of the Board of Directors and the Supervisory Board in 2023 and the plan for 2024 as follows:</w:t>
      </w:r>
    </w:p>
    <w:p w14:paraId="4195AA60" w14:textId="23173BC5" w:rsidR="007428D2" w:rsidRPr="00AF57E7" w:rsidRDefault="002941E4" w:rsidP="00D03957">
      <w:pPr>
        <w:pStyle w:val="Vnbnnidung0"/>
        <w:numPr>
          <w:ilvl w:val="0"/>
          <w:numId w:val="9"/>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Realized salary and remuneration fund of 2023</w:t>
      </w:r>
      <w:r w:rsidR="00C01BDF" w:rsidRPr="00AF57E7">
        <w:rPr>
          <w:rFonts w:ascii="Arial" w:hAnsi="Arial" w:cs="Arial"/>
          <w:color w:val="010000"/>
          <w:sz w:val="20"/>
        </w:rPr>
        <w:t xml:space="preserve"> </w:t>
      </w:r>
    </w:p>
    <w:p w14:paraId="25B5FB92" w14:textId="40750879" w:rsidR="00D05683" w:rsidRPr="00AF57E7" w:rsidRDefault="002941E4" w:rsidP="00D03957">
      <w:pPr>
        <w:pStyle w:val="Vnbnnidung0"/>
        <w:numPr>
          <w:ilvl w:val="0"/>
          <w:numId w:val="10"/>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 xml:space="preserve">The </w:t>
      </w:r>
      <w:r w:rsidR="00620E7A" w:rsidRPr="00AF57E7">
        <w:rPr>
          <w:rFonts w:ascii="Arial" w:hAnsi="Arial" w:cs="Arial"/>
          <w:color w:val="010000"/>
          <w:sz w:val="20"/>
        </w:rPr>
        <w:t xml:space="preserve">realized </w:t>
      </w:r>
      <w:r w:rsidRPr="00AF57E7">
        <w:rPr>
          <w:rFonts w:ascii="Arial" w:hAnsi="Arial" w:cs="Arial"/>
          <w:color w:val="010000"/>
          <w:sz w:val="20"/>
        </w:rPr>
        <w:t xml:space="preserve">salary of the </w:t>
      </w:r>
      <w:r w:rsidR="00620E7A" w:rsidRPr="00AF57E7">
        <w:rPr>
          <w:rFonts w:ascii="Arial" w:hAnsi="Arial" w:cs="Arial"/>
          <w:color w:val="010000"/>
          <w:sz w:val="20"/>
        </w:rPr>
        <w:t>Executive Chief</w:t>
      </w:r>
      <w:r w:rsidRPr="00AF57E7">
        <w:rPr>
          <w:rFonts w:ascii="Arial" w:hAnsi="Arial" w:cs="Arial"/>
          <w:color w:val="010000"/>
          <w:sz w:val="20"/>
        </w:rPr>
        <w:t xml:space="preserve"> of the Supervisory Boar</w:t>
      </w:r>
      <w:r w:rsidR="00620E7A" w:rsidRPr="00AF57E7">
        <w:rPr>
          <w:rFonts w:ascii="Arial" w:hAnsi="Arial" w:cs="Arial"/>
          <w:color w:val="010000"/>
          <w:sz w:val="20"/>
        </w:rPr>
        <w:t xml:space="preserve">d </w:t>
      </w:r>
      <w:r w:rsidRPr="00AF57E7">
        <w:rPr>
          <w:rFonts w:ascii="Arial" w:hAnsi="Arial" w:cs="Arial"/>
          <w:color w:val="010000"/>
          <w:sz w:val="20"/>
        </w:rPr>
        <w:t xml:space="preserve">in 2023 </w:t>
      </w:r>
      <w:r w:rsidR="00620E7A" w:rsidRPr="00AF57E7">
        <w:rPr>
          <w:rFonts w:ascii="Arial" w:hAnsi="Arial" w:cs="Arial"/>
          <w:color w:val="010000"/>
          <w:sz w:val="20"/>
        </w:rPr>
        <w:t>is</w:t>
      </w:r>
      <w:r w:rsidRPr="00AF57E7">
        <w:rPr>
          <w:rFonts w:ascii="Arial" w:hAnsi="Arial" w:cs="Arial"/>
          <w:color w:val="010000"/>
          <w:sz w:val="20"/>
        </w:rPr>
        <w:t xml:space="preserve"> settled in the manager's salary fund as: VND 792,369,540.</w:t>
      </w:r>
    </w:p>
    <w:p w14:paraId="5180C995" w14:textId="6230DD58" w:rsidR="007428D2" w:rsidRPr="00AF57E7" w:rsidRDefault="002941E4" w:rsidP="00D03957">
      <w:pPr>
        <w:pStyle w:val="Vnbnnidung0"/>
        <w:numPr>
          <w:ilvl w:val="0"/>
          <w:numId w:val="10"/>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 xml:space="preserve">The </w:t>
      </w:r>
      <w:r w:rsidR="00620E7A" w:rsidRPr="00AF57E7">
        <w:rPr>
          <w:rFonts w:ascii="Arial" w:hAnsi="Arial" w:cs="Arial"/>
          <w:color w:val="010000"/>
          <w:sz w:val="20"/>
        </w:rPr>
        <w:t xml:space="preserve">realized </w:t>
      </w:r>
      <w:r w:rsidRPr="00AF57E7">
        <w:rPr>
          <w:rFonts w:ascii="Arial" w:hAnsi="Arial" w:cs="Arial"/>
          <w:color w:val="010000"/>
          <w:sz w:val="20"/>
        </w:rPr>
        <w:t xml:space="preserve">remuneration fund for members of the Supervisory Board and the Board of Directors in 2023 </w:t>
      </w:r>
      <w:r w:rsidR="00620E7A" w:rsidRPr="00AF57E7">
        <w:rPr>
          <w:rFonts w:ascii="Arial" w:hAnsi="Arial" w:cs="Arial"/>
          <w:color w:val="010000"/>
          <w:sz w:val="20"/>
        </w:rPr>
        <w:t>is</w:t>
      </w:r>
      <w:r w:rsidRPr="00AF57E7">
        <w:rPr>
          <w:rFonts w:ascii="Arial" w:hAnsi="Arial" w:cs="Arial"/>
          <w:color w:val="010000"/>
          <w:sz w:val="20"/>
        </w:rPr>
        <w:t xml:space="preserve"> VND 1,128,000,000.</w:t>
      </w:r>
      <w:r w:rsidR="00620E7A" w:rsidRPr="00AF57E7">
        <w:rPr>
          <w:rFonts w:ascii="Arial" w:hAnsi="Arial" w:cs="Arial"/>
          <w:color w:val="010000"/>
          <w:sz w:val="20"/>
        </w:rPr>
        <w:t xml:space="preserve"> </w:t>
      </w:r>
    </w:p>
    <w:p w14:paraId="54C24626" w14:textId="007B067B" w:rsidR="007428D2" w:rsidRPr="00AF57E7" w:rsidRDefault="00620E7A" w:rsidP="00D03957">
      <w:pPr>
        <w:pStyle w:val="Vnbnnidung0"/>
        <w:numPr>
          <w:ilvl w:val="0"/>
          <w:numId w:val="9"/>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Planned s</w:t>
      </w:r>
      <w:r w:rsidR="002941E4" w:rsidRPr="00AF57E7">
        <w:rPr>
          <w:rFonts w:ascii="Arial" w:hAnsi="Arial" w:cs="Arial"/>
          <w:color w:val="010000"/>
          <w:sz w:val="20"/>
        </w:rPr>
        <w:t>alary and remuneration for 2024</w:t>
      </w:r>
    </w:p>
    <w:p w14:paraId="3C0A04A9" w14:textId="5D8A5612" w:rsidR="00D05683" w:rsidRPr="00AF57E7" w:rsidRDefault="002941E4" w:rsidP="00D03957">
      <w:pPr>
        <w:pStyle w:val="Vnbnnidung0"/>
        <w:numPr>
          <w:ilvl w:val="0"/>
          <w:numId w:val="11"/>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 xml:space="preserve">The salary of the </w:t>
      </w:r>
      <w:r w:rsidR="00620E7A" w:rsidRPr="00AF57E7">
        <w:rPr>
          <w:rFonts w:ascii="Arial" w:hAnsi="Arial" w:cs="Arial"/>
          <w:color w:val="010000"/>
          <w:sz w:val="20"/>
        </w:rPr>
        <w:t>Executive Chief</w:t>
      </w:r>
      <w:r w:rsidRPr="00AF57E7">
        <w:rPr>
          <w:rFonts w:ascii="Arial" w:hAnsi="Arial" w:cs="Arial"/>
          <w:color w:val="010000"/>
          <w:sz w:val="20"/>
        </w:rPr>
        <w:t xml:space="preserve"> of the Supervisory Board in 2024 is: VND 47,761,438</w:t>
      </w:r>
      <w:r w:rsidR="00620E7A" w:rsidRPr="00AF57E7">
        <w:rPr>
          <w:rFonts w:ascii="Arial" w:hAnsi="Arial" w:cs="Arial"/>
          <w:color w:val="010000"/>
          <w:sz w:val="20"/>
        </w:rPr>
        <w:t>/</w:t>
      </w:r>
      <w:r w:rsidRPr="00AF57E7">
        <w:rPr>
          <w:rFonts w:ascii="Arial" w:hAnsi="Arial" w:cs="Arial"/>
          <w:color w:val="010000"/>
          <w:sz w:val="20"/>
        </w:rPr>
        <w:t xml:space="preserve">month. The salary of the </w:t>
      </w:r>
      <w:r w:rsidR="00620E7A" w:rsidRPr="00AF57E7">
        <w:rPr>
          <w:rFonts w:ascii="Arial" w:hAnsi="Arial" w:cs="Arial"/>
          <w:color w:val="010000"/>
          <w:sz w:val="20"/>
        </w:rPr>
        <w:t xml:space="preserve">Chief </w:t>
      </w:r>
      <w:r w:rsidRPr="00AF57E7">
        <w:rPr>
          <w:rFonts w:ascii="Arial" w:hAnsi="Arial" w:cs="Arial"/>
          <w:color w:val="010000"/>
          <w:sz w:val="20"/>
        </w:rPr>
        <w:t xml:space="preserve">of the Supervisory Board is settled in the </w:t>
      </w:r>
      <w:r w:rsidR="00620E7A" w:rsidRPr="00AF57E7">
        <w:rPr>
          <w:rFonts w:ascii="Arial" w:hAnsi="Arial" w:cs="Arial"/>
          <w:color w:val="010000"/>
          <w:sz w:val="20"/>
        </w:rPr>
        <w:t>realized</w:t>
      </w:r>
      <w:r w:rsidRPr="00AF57E7">
        <w:rPr>
          <w:rFonts w:ascii="Arial" w:hAnsi="Arial" w:cs="Arial"/>
          <w:color w:val="010000"/>
          <w:sz w:val="20"/>
        </w:rPr>
        <w:t xml:space="preserve"> salary fund of the </w:t>
      </w:r>
      <w:r w:rsidR="00620E7A" w:rsidRPr="00AF57E7">
        <w:rPr>
          <w:rFonts w:ascii="Arial" w:hAnsi="Arial" w:cs="Arial"/>
          <w:color w:val="010000"/>
          <w:sz w:val="20"/>
        </w:rPr>
        <w:t>executive</w:t>
      </w:r>
      <w:r w:rsidRPr="00AF57E7">
        <w:rPr>
          <w:rFonts w:ascii="Arial" w:hAnsi="Arial" w:cs="Arial"/>
          <w:color w:val="010000"/>
          <w:sz w:val="20"/>
        </w:rPr>
        <w:t xml:space="preserve"> manager according to the production and business results in 2024.</w:t>
      </w:r>
      <w:r w:rsidR="00620E7A" w:rsidRPr="00AF57E7">
        <w:rPr>
          <w:rFonts w:ascii="Arial" w:hAnsi="Arial" w:cs="Arial"/>
          <w:color w:val="010000"/>
          <w:sz w:val="20"/>
        </w:rPr>
        <w:t xml:space="preserve"> </w:t>
      </w:r>
    </w:p>
    <w:p w14:paraId="67618D9A" w14:textId="1F14D04D" w:rsidR="00D05683" w:rsidRPr="00AF57E7" w:rsidRDefault="002941E4" w:rsidP="00D03957">
      <w:pPr>
        <w:pStyle w:val="Vnbnnidung0"/>
        <w:numPr>
          <w:ilvl w:val="0"/>
          <w:numId w:val="11"/>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The remuneration fund for members of the Supervisory Board and the Board of Directors in 2024 is: VND 1,200,000,000</w:t>
      </w:r>
    </w:p>
    <w:p w14:paraId="24822E5B" w14:textId="18CADB94" w:rsidR="007428D2" w:rsidRPr="00AF57E7" w:rsidRDefault="002941E4" w:rsidP="00D03957">
      <w:pPr>
        <w:pStyle w:val="Vnbnnidung0"/>
        <w:numPr>
          <w:ilvl w:val="0"/>
          <w:numId w:val="11"/>
        </w:numPr>
        <w:tabs>
          <w:tab w:val="left" w:pos="432"/>
          <w:tab w:val="left" w:pos="742"/>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 xml:space="preserve">Provisional remuneration </w:t>
      </w:r>
      <w:r w:rsidR="00620E7A" w:rsidRPr="00AF57E7">
        <w:rPr>
          <w:rFonts w:ascii="Arial" w:hAnsi="Arial" w:cs="Arial"/>
          <w:color w:val="010000"/>
          <w:sz w:val="20"/>
        </w:rPr>
        <w:t xml:space="preserve">is </w:t>
      </w:r>
      <w:r w:rsidRPr="00AF57E7">
        <w:rPr>
          <w:rFonts w:ascii="Arial" w:hAnsi="Arial" w:cs="Arial"/>
          <w:color w:val="010000"/>
          <w:sz w:val="20"/>
        </w:rPr>
        <w:t>as follows:</w:t>
      </w:r>
    </w:p>
    <w:p w14:paraId="313911A1" w14:textId="3EBD2901" w:rsidR="007428D2" w:rsidRPr="00AF57E7" w:rsidRDefault="002941E4" w:rsidP="00D03957">
      <w:pPr>
        <w:pStyle w:val="Vnbnnidung0"/>
        <w:numPr>
          <w:ilvl w:val="0"/>
          <w:numId w:val="12"/>
        </w:numPr>
        <w:tabs>
          <w:tab w:val="left" w:pos="432"/>
          <w:tab w:val="left" w:pos="1693"/>
          <w:tab w:val="right" w:pos="4072"/>
          <w:tab w:val="right" w:pos="6336"/>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Chair of the Board of Directors:</w:t>
      </w:r>
      <w:r w:rsidR="003043C7" w:rsidRPr="00AF57E7">
        <w:rPr>
          <w:rFonts w:ascii="Arial" w:hAnsi="Arial" w:cs="Arial"/>
          <w:color w:val="010000"/>
          <w:sz w:val="20"/>
        </w:rPr>
        <w:t xml:space="preserve"> </w:t>
      </w:r>
      <w:r w:rsidRPr="00AF57E7">
        <w:rPr>
          <w:rFonts w:ascii="Arial" w:hAnsi="Arial" w:cs="Arial"/>
          <w:color w:val="010000"/>
          <w:sz w:val="20"/>
        </w:rPr>
        <w:t>VND 10,000,000</w:t>
      </w:r>
      <w:r w:rsidR="00620E7A" w:rsidRPr="00AF57E7">
        <w:rPr>
          <w:rFonts w:ascii="Arial" w:hAnsi="Arial" w:cs="Arial"/>
          <w:color w:val="010000"/>
          <w:sz w:val="20"/>
        </w:rPr>
        <w:t>/</w:t>
      </w:r>
      <w:r w:rsidRPr="00AF57E7">
        <w:rPr>
          <w:rFonts w:ascii="Arial" w:hAnsi="Arial" w:cs="Arial"/>
          <w:color w:val="010000"/>
          <w:sz w:val="20"/>
        </w:rPr>
        <w:t>month</w:t>
      </w:r>
    </w:p>
    <w:p w14:paraId="75662CA5" w14:textId="264C6EFB" w:rsidR="007428D2" w:rsidRPr="00AF57E7" w:rsidRDefault="002941E4" w:rsidP="00D03957">
      <w:pPr>
        <w:pStyle w:val="Vnbnnidung0"/>
        <w:numPr>
          <w:ilvl w:val="0"/>
          <w:numId w:val="12"/>
        </w:numPr>
        <w:tabs>
          <w:tab w:val="left" w:pos="432"/>
          <w:tab w:val="left" w:pos="1693"/>
          <w:tab w:val="right" w:pos="4072"/>
          <w:tab w:val="right" w:pos="6336"/>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t>Member of the Board of Directors: VND 8,000,000</w:t>
      </w:r>
      <w:r w:rsidR="00620E7A" w:rsidRPr="00AF57E7">
        <w:rPr>
          <w:rFonts w:ascii="Arial" w:hAnsi="Arial" w:cs="Arial"/>
          <w:color w:val="010000"/>
          <w:sz w:val="20"/>
        </w:rPr>
        <w:t>/</w:t>
      </w:r>
      <w:r w:rsidRPr="00AF57E7">
        <w:rPr>
          <w:rFonts w:ascii="Arial" w:hAnsi="Arial" w:cs="Arial"/>
          <w:color w:val="010000"/>
          <w:sz w:val="20"/>
        </w:rPr>
        <w:t>month</w:t>
      </w:r>
    </w:p>
    <w:p w14:paraId="6BCBAA01" w14:textId="1913308D" w:rsidR="007428D2" w:rsidRPr="00AF57E7" w:rsidRDefault="002941E4" w:rsidP="00D03957">
      <w:pPr>
        <w:pStyle w:val="Vnbnnidung0"/>
        <w:numPr>
          <w:ilvl w:val="0"/>
          <w:numId w:val="12"/>
        </w:numPr>
        <w:tabs>
          <w:tab w:val="left" w:pos="432"/>
          <w:tab w:val="left" w:pos="1693"/>
          <w:tab w:val="right" w:pos="4072"/>
          <w:tab w:val="right" w:pos="6336"/>
        </w:tabs>
        <w:spacing w:after="120" w:line="360" w:lineRule="auto"/>
        <w:ind w:left="0" w:firstLine="0"/>
        <w:jc w:val="both"/>
        <w:rPr>
          <w:rFonts w:ascii="Arial" w:hAnsi="Arial" w:cs="Arial"/>
          <w:color w:val="010000"/>
          <w:sz w:val="20"/>
          <w:szCs w:val="20"/>
        </w:rPr>
      </w:pPr>
      <w:r w:rsidRPr="00AF57E7">
        <w:rPr>
          <w:rFonts w:ascii="Arial" w:hAnsi="Arial" w:cs="Arial"/>
          <w:color w:val="010000"/>
          <w:sz w:val="20"/>
        </w:rPr>
        <w:lastRenderedPageBreak/>
        <w:t>Member of the Supervisory Board: VND 4,000,000</w:t>
      </w:r>
      <w:r w:rsidR="00620E7A" w:rsidRPr="00AF57E7">
        <w:rPr>
          <w:rFonts w:ascii="Arial" w:hAnsi="Arial" w:cs="Arial"/>
          <w:color w:val="010000"/>
          <w:sz w:val="20"/>
        </w:rPr>
        <w:t>/</w:t>
      </w:r>
      <w:r w:rsidRPr="00AF57E7">
        <w:rPr>
          <w:rFonts w:ascii="Arial" w:hAnsi="Arial" w:cs="Arial"/>
          <w:color w:val="010000"/>
          <w:sz w:val="20"/>
        </w:rPr>
        <w:t>month</w:t>
      </w:r>
    </w:p>
    <w:p w14:paraId="7F45D023" w14:textId="0EBCABDC"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The manager's salary fund and the Board of Directors' remuneration fund </w:t>
      </w:r>
      <w:r w:rsidR="00620E7A" w:rsidRPr="00AF57E7">
        <w:rPr>
          <w:rFonts w:ascii="Arial" w:hAnsi="Arial" w:cs="Arial"/>
          <w:color w:val="010000"/>
          <w:sz w:val="20"/>
        </w:rPr>
        <w:t>realized</w:t>
      </w:r>
      <w:r w:rsidRPr="00AF57E7">
        <w:rPr>
          <w:rFonts w:ascii="Arial" w:hAnsi="Arial" w:cs="Arial"/>
          <w:color w:val="010000"/>
          <w:sz w:val="20"/>
        </w:rPr>
        <w:t xml:space="preserve"> in 2024 will be settled according to the production and business results in 2024 and Circular </w:t>
      </w:r>
      <w:r w:rsidR="00620E7A" w:rsidRPr="00AF57E7">
        <w:rPr>
          <w:rFonts w:ascii="Arial" w:hAnsi="Arial" w:cs="Arial"/>
          <w:color w:val="010000"/>
          <w:sz w:val="20"/>
        </w:rPr>
        <w:t xml:space="preserve">No. </w:t>
      </w:r>
      <w:r w:rsidRPr="00AF57E7">
        <w:rPr>
          <w:rFonts w:ascii="Arial" w:hAnsi="Arial" w:cs="Arial"/>
          <w:color w:val="010000"/>
          <w:sz w:val="20"/>
        </w:rPr>
        <w:t>28/2016/TT-BLDTBXH dated September 1, 2016.</w:t>
      </w:r>
    </w:p>
    <w:p w14:paraId="344EBE95" w14:textId="790671C7"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Article 9: Approve the results of additional election </w:t>
      </w:r>
      <w:r w:rsidR="00620E7A" w:rsidRPr="00AF57E7">
        <w:rPr>
          <w:rFonts w:ascii="Arial" w:hAnsi="Arial" w:cs="Arial"/>
          <w:color w:val="010000"/>
          <w:sz w:val="20"/>
        </w:rPr>
        <w:t xml:space="preserve">for </w:t>
      </w:r>
      <w:r w:rsidRPr="00AF57E7">
        <w:rPr>
          <w:rFonts w:ascii="Arial" w:hAnsi="Arial" w:cs="Arial"/>
          <w:color w:val="010000"/>
          <w:sz w:val="20"/>
        </w:rPr>
        <w:t>members of the Board of Directors and the Supervisory Board in the term of 2024 - 2029 as follows:</w:t>
      </w:r>
    </w:p>
    <w:tbl>
      <w:tblPr>
        <w:tblW w:w="5000" w:type="pct"/>
        <w:jc w:val="center"/>
        <w:tblCellMar>
          <w:left w:w="10" w:type="dxa"/>
          <w:right w:w="10" w:type="dxa"/>
        </w:tblCellMar>
        <w:tblLook w:val="04A0" w:firstRow="1" w:lastRow="0" w:firstColumn="1" w:lastColumn="0" w:noHBand="0" w:noVBand="1"/>
      </w:tblPr>
      <w:tblGrid>
        <w:gridCol w:w="1663"/>
        <w:gridCol w:w="7347"/>
      </w:tblGrid>
      <w:tr w:rsidR="007428D2" w:rsidRPr="00AF57E7" w14:paraId="1C59FBE1" w14:textId="77777777" w:rsidTr="003043C7">
        <w:trPr>
          <w:jc w:val="center"/>
        </w:trPr>
        <w:tc>
          <w:tcPr>
            <w:tcW w:w="923" w:type="pct"/>
            <w:tcBorders>
              <w:top w:val="single" w:sz="4" w:space="0" w:color="auto"/>
              <w:left w:val="single" w:sz="4" w:space="0" w:color="auto"/>
            </w:tcBorders>
            <w:shd w:val="clear" w:color="auto" w:fill="auto"/>
            <w:vAlign w:val="center"/>
          </w:tcPr>
          <w:p w14:paraId="4BF23B4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No.</w:t>
            </w:r>
          </w:p>
        </w:tc>
        <w:tc>
          <w:tcPr>
            <w:tcW w:w="4077" w:type="pct"/>
            <w:tcBorders>
              <w:top w:val="single" w:sz="4" w:space="0" w:color="auto"/>
              <w:left w:val="single" w:sz="4" w:space="0" w:color="auto"/>
              <w:right w:val="single" w:sz="4" w:space="0" w:color="auto"/>
            </w:tcBorders>
            <w:shd w:val="clear" w:color="auto" w:fill="auto"/>
            <w:vAlign w:val="center"/>
          </w:tcPr>
          <w:p w14:paraId="26DA361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Full name</w:t>
            </w:r>
          </w:p>
        </w:tc>
      </w:tr>
      <w:tr w:rsidR="007428D2" w:rsidRPr="00AF57E7" w14:paraId="588BF654" w14:textId="77777777" w:rsidTr="003043C7">
        <w:trPr>
          <w:jc w:val="center"/>
        </w:trPr>
        <w:tc>
          <w:tcPr>
            <w:tcW w:w="5000" w:type="pct"/>
            <w:gridSpan w:val="2"/>
            <w:tcBorders>
              <w:top w:val="single" w:sz="4" w:space="0" w:color="auto"/>
              <w:left w:val="single" w:sz="4" w:space="0" w:color="auto"/>
              <w:right w:val="single" w:sz="4" w:space="0" w:color="auto"/>
            </w:tcBorders>
            <w:shd w:val="clear" w:color="auto" w:fill="auto"/>
            <w:vAlign w:val="center"/>
          </w:tcPr>
          <w:p w14:paraId="4320B351"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A. The Board of Directors</w:t>
            </w:r>
          </w:p>
        </w:tc>
      </w:tr>
      <w:tr w:rsidR="007428D2" w:rsidRPr="00AF57E7" w14:paraId="42D82B37" w14:textId="77777777" w:rsidTr="003043C7">
        <w:trPr>
          <w:jc w:val="center"/>
        </w:trPr>
        <w:tc>
          <w:tcPr>
            <w:tcW w:w="923" w:type="pct"/>
            <w:tcBorders>
              <w:top w:val="single" w:sz="4" w:space="0" w:color="auto"/>
              <w:left w:val="single" w:sz="4" w:space="0" w:color="auto"/>
            </w:tcBorders>
            <w:shd w:val="clear" w:color="auto" w:fill="auto"/>
            <w:vAlign w:val="center"/>
          </w:tcPr>
          <w:p w14:paraId="0C75CE6F"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1</w:t>
            </w:r>
          </w:p>
        </w:tc>
        <w:tc>
          <w:tcPr>
            <w:tcW w:w="4077" w:type="pct"/>
            <w:tcBorders>
              <w:top w:val="single" w:sz="4" w:space="0" w:color="auto"/>
              <w:left w:val="single" w:sz="4" w:space="0" w:color="auto"/>
              <w:right w:val="single" w:sz="4" w:space="0" w:color="auto"/>
            </w:tcBorders>
            <w:shd w:val="clear" w:color="auto" w:fill="auto"/>
            <w:vAlign w:val="center"/>
          </w:tcPr>
          <w:p w14:paraId="1E7D2A9A"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Ms. Luong Minh Hien</w:t>
            </w:r>
          </w:p>
        </w:tc>
      </w:tr>
      <w:tr w:rsidR="007428D2" w:rsidRPr="00AF57E7" w14:paraId="0F371629" w14:textId="77777777" w:rsidTr="003043C7">
        <w:trPr>
          <w:jc w:val="center"/>
        </w:trPr>
        <w:tc>
          <w:tcPr>
            <w:tcW w:w="923" w:type="pct"/>
            <w:tcBorders>
              <w:top w:val="single" w:sz="4" w:space="0" w:color="auto"/>
              <w:left w:val="single" w:sz="4" w:space="0" w:color="auto"/>
            </w:tcBorders>
            <w:shd w:val="clear" w:color="auto" w:fill="auto"/>
            <w:vAlign w:val="center"/>
          </w:tcPr>
          <w:p w14:paraId="79FEAB94"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2</w:t>
            </w:r>
          </w:p>
        </w:tc>
        <w:tc>
          <w:tcPr>
            <w:tcW w:w="4077" w:type="pct"/>
            <w:tcBorders>
              <w:top w:val="single" w:sz="4" w:space="0" w:color="auto"/>
              <w:left w:val="single" w:sz="4" w:space="0" w:color="auto"/>
              <w:right w:val="single" w:sz="4" w:space="0" w:color="auto"/>
            </w:tcBorders>
            <w:shd w:val="clear" w:color="auto" w:fill="auto"/>
            <w:vAlign w:val="center"/>
          </w:tcPr>
          <w:p w14:paraId="3A093B5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Mr. Nguyen Ba Chuyen</w:t>
            </w:r>
          </w:p>
        </w:tc>
      </w:tr>
      <w:tr w:rsidR="007428D2" w:rsidRPr="00AF57E7" w14:paraId="053E3975" w14:textId="77777777" w:rsidTr="003043C7">
        <w:trPr>
          <w:jc w:val="center"/>
        </w:trPr>
        <w:tc>
          <w:tcPr>
            <w:tcW w:w="923" w:type="pct"/>
            <w:tcBorders>
              <w:top w:val="single" w:sz="4" w:space="0" w:color="auto"/>
              <w:left w:val="single" w:sz="4" w:space="0" w:color="auto"/>
            </w:tcBorders>
            <w:shd w:val="clear" w:color="auto" w:fill="auto"/>
            <w:vAlign w:val="center"/>
          </w:tcPr>
          <w:p w14:paraId="4F59DF49"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3</w:t>
            </w:r>
          </w:p>
        </w:tc>
        <w:tc>
          <w:tcPr>
            <w:tcW w:w="4077" w:type="pct"/>
            <w:tcBorders>
              <w:top w:val="single" w:sz="4" w:space="0" w:color="auto"/>
              <w:left w:val="single" w:sz="4" w:space="0" w:color="auto"/>
              <w:right w:val="single" w:sz="4" w:space="0" w:color="auto"/>
            </w:tcBorders>
            <w:shd w:val="clear" w:color="auto" w:fill="auto"/>
            <w:vAlign w:val="center"/>
          </w:tcPr>
          <w:p w14:paraId="45D7DCCB"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Mr. Nguyen Ngoc Dai</w:t>
            </w:r>
          </w:p>
        </w:tc>
      </w:tr>
      <w:tr w:rsidR="007428D2" w:rsidRPr="00AF57E7" w14:paraId="481048D2" w14:textId="77777777" w:rsidTr="003043C7">
        <w:trPr>
          <w:jc w:val="center"/>
        </w:trPr>
        <w:tc>
          <w:tcPr>
            <w:tcW w:w="923" w:type="pct"/>
            <w:tcBorders>
              <w:top w:val="single" w:sz="4" w:space="0" w:color="auto"/>
              <w:left w:val="single" w:sz="4" w:space="0" w:color="auto"/>
            </w:tcBorders>
            <w:shd w:val="clear" w:color="auto" w:fill="auto"/>
            <w:vAlign w:val="center"/>
          </w:tcPr>
          <w:p w14:paraId="3F2EEB9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4</w:t>
            </w:r>
          </w:p>
        </w:tc>
        <w:tc>
          <w:tcPr>
            <w:tcW w:w="4077" w:type="pct"/>
            <w:tcBorders>
              <w:top w:val="single" w:sz="4" w:space="0" w:color="auto"/>
              <w:left w:val="single" w:sz="4" w:space="0" w:color="auto"/>
              <w:right w:val="single" w:sz="4" w:space="0" w:color="auto"/>
            </w:tcBorders>
            <w:shd w:val="clear" w:color="auto" w:fill="auto"/>
            <w:vAlign w:val="center"/>
          </w:tcPr>
          <w:p w14:paraId="0610A82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Mr. Pham Van Tinh</w:t>
            </w:r>
          </w:p>
        </w:tc>
      </w:tr>
      <w:tr w:rsidR="007428D2" w:rsidRPr="00AF57E7" w14:paraId="7DA0901C" w14:textId="77777777" w:rsidTr="003043C7">
        <w:trPr>
          <w:jc w:val="center"/>
        </w:trPr>
        <w:tc>
          <w:tcPr>
            <w:tcW w:w="923" w:type="pct"/>
            <w:tcBorders>
              <w:top w:val="single" w:sz="4" w:space="0" w:color="auto"/>
              <w:left w:val="single" w:sz="4" w:space="0" w:color="auto"/>
            </w:tcBorders>
            <w:shd w:val="clear" w:color="auto" w:fill="auto"/>
            <w:vAlign w:val="center"/>
          </w:tcPr>
          <w:p w14:paraId="33C679E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5</w:t>
            </w:r>
          </w:p>
        </w:tc>
        <w:tc>
          <w:tcPr>
            <w:tcW w:w="4077" w:type="pct"/>
            <w:tcBorders>
              <w:top w:val="single" w:sz="4" w:space="0" w:color="auto"/>
              <w:left w:val="single" w:sz="4" w:space="0" w:color="auto"/>
              <w:right w:val="single" w:sz="4" w:space="0" w:color="auto"/>
            </w:tcBorders>
            <w:shd w:val="clear" w:color="auto" w:fill="auto"/>
            <w:vAlign w:val="center"/>
          </w:tcPr>
          <w:p w14:paraId="603F760C"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Mr. Tran Anh Tuan</w:t>
            </w:r>
          </w:p>
        </w:tc>
      </w:tr>
      <w:tr w:rsidR="007428D2" w:rsidRPr="00AF57E7" w14:paraId="193EC49C" w14:textId="77777777" w:rsidTr="003043C7">
        <w:trPr>
          <w:jc w:val="center"/>
        </w:trPr>
        <w:tc>
          <w:tcPr>
            <w:tcW w:w="5000" w:type="pct"/>
            <w:gridSpan w:val="2"/>
            <w:tcBorders>
              <w:top w:val="single" w:sz="4" w:space="0" w:color="auto"/>
              <w:left w:val="single" w:sz="4" w:space="0" w:color="auto"/>
              <w:right w:val="single" w:sz="4" w:space="0" w:color="auto"/>
            </w:tcBorders>
            <w:shd w:val="clear" w:color="auto" w:fill="auto"/>
            <w:vAlign w:val="center"/>
          </w:tcPr>
          <w:p w14:paraId="13C575A4"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B. The Supervisory Board</w:t>
            </w:r>
          </w:p>
        </w:tc>
      </w:tr>
      <w:tr w:rsidR="007428D2" w:rsidRPr="00AF57E7" w14:paraId="5485AA8C" w14:textId="77777777" w:rsidTr="003043C7">
        <w:trPr>
          <w:jc w:val="center"/>
        </w:trPr>
        <w:tc>
          <w:tcPr>
            <w:tcW w:w="923" w:type="pct"/>
            <w:tcBorders>
              <w:top w:val="single" w:sz="4" w:space="0" w:color="auto"/>
              <w:left w:val="single" w:sz="4" w:space="0" w:color="auto"/>
            </w:tcBorders>
            <w:shd w:val="clear" w:color="auto" w:fill="auto"/>
            <w:vAlign w:val="center"/>
          </w:tcPr>
          <w:p w14:paraId="180958B6"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6</w:t>
            </w:r>
          </w:p>
        </w:tc>
        <w:tc>
          <w:tcPr>
            <w:tcW w:w="4077" w:type="pct"/>
            <w:tcBorders>
              <w:top w:val="single" w:sz="4" w:space="0" w:color="auto"/>
              <w:left w:val="single" w:sz="4" w:space="0" w:color="auto"/>
              <w:right w:val="single" w:sz="4" w:space="0" w:color="auto"/>
            </w:tcBorders>
            <w:shd w:val="clear" w:color="auto" w:fill="auto"/>
            <w:vAlign w:val="center"/>
          </w:tcPr>
          <w:p w14:paraId="399CEEE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Ms. Luu Thi Thuy Van</w:t>
            </w:r>
          </w:p>
        </w:tc>
      </w:tr>
      <w:tr w:rsidR="007428D2" w:rsidRPr="00AF57E7" w14:paraId="1F0B6A83" w14:textId="77777777" w:rsidTr="003043C7">
        <w:trPr>
          <w:jc w:val="center"/>
        </w:trPr>
        <w:tc>
          <w:tcPr>
            <w:tcW w:w="923" w:type="pct"/>
            <w:tcBorders>
              <w:top w:val="single" w:sz="4" w:space="0" w:color="auto"/>
              <w:left w:val="single" w:sz="4" w:space="0" w:color="auto"/>
            </w:tcBorders>
            <w:shd w:val="clear" w:color="auto" w:fill="auto"/>
            <w:vAlign w:val="center"/>
          </w:tcPr>
          <w:p w14:paraId="26EC912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7</w:t>
            </w:r>
          </w:p>
        </w:tc>
        <w:tc>
          <w:tcPr>
            <w:tcW w:w="4077" w:type="pct"/>
            <w:tcBorders>
              <w:top w:val="single" w:sz="4" w:space="0" w:color="auto"/>
              <w:left w:val="single" w:sz="4" w:space="0" w:color="auto"/>
              <w:right w:val="single" w:sz="4" w:space="0" w:color="auto"/>
            </w:tcBorders>
            <w:shd w:val="clear" w:color="auto" w:fill="auto"/>
            <w:vAlign w:val="center"/>
          </w:tcPr>
          <w:p w14:paraId="5C896C45"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Mr. Nguyen Cong Hieu</w:t>
            </w:r>
          </w:p>
        </w:tc>
      </w:tr>
      <w:tr w:rsidR="007428D2" w:rsidRPr="00AF57E7" w14:paraId="182995A5" w14:textId="77777777" w:rsidTr="003043C7">
        <w:trPr>
          <w:jc w:val="center"/>
        </w:trPr>
        <w:tc>
          <w:tcPr>
            <w:tcW w:w="923" w:type="pct"/>
            <w:tcBorders>
              <w:top w:val="single" w:sz="4" w:space="0" w:color="auto"/>
              <w:left w:val="single" w:sz="4" w:space="0" w:color="auto"/>
              <w:bottom w:val="single" w:sz="4" w:space="0" w:color="auto"/>
            </w:tcBorders>
            <w:shd w:val="clear" w:color="auto" w:fill="auto"/>
            <w:vAlign w:val="center"/>
          </w:tcPr>
          <w:p w14:paraId="1401D61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8</w:t>
            </w:r>
          </w:p>
        </w:tc>
        <w:tc>
          <w:tcPr>
            <w:tcW w:w="4077" w:type="pct"/>
            <w:tcBorders>
              <w:top w:val="single" w:sz="4" w:space="0" w:color="auto"/>
              <w:left w:val="single" w:sz="4" w:space="0" w:color="auto"/>
              <w:bottom w:val="single" w:sz="4" w:space="0" w:color="auto"/>
              <w:right w:val="single" w:sz="4" w:space="0" w:color="auto"/>
            </w:tcBorders>
            <w:shd w:val="clear" w:color="auto" w:fill="auto"/>
            <w:vAlign w:val="center"/>
          </w:tcPr>
          <w:p w14:paraId="257F1A88" w14:textId="77777777" w:rsidR="007428D2" w:rsidRPr="00AF57E7" w:rsidRDefault="002941E4" w:rsidP="00D03957">
            <w:pPr>
              <w:pStyle w:val="Khc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Ms. Nguyen Kha Phuong Thu</w:t>
            </w:r>
          </w:p>
        </w:tc>
      </w:tr>
    </w:tbl>
    <w:p w14:paraId="5FD1CAC7" w14:textId="4EDFA8E6" w:rsidR="007428D2" w:rsidRPr="00AF57E7" w:rsidRDefault="002941E4" w:rsidP="00D03957">
      <w:pPr>
        <w:pStyle w:val="Vnbnnidung0"/>
        <w:tabs>
          <w:tab w:val="left" w:pos="432"/>
        </w:tabs>
        <w:spacing w:after="120" w:line="360" w:lineRule="auto"/>
        <w:ind w:firstLine="0"/>
        <w:jc w:val="both"/>
        <w:rPr>
          <w:rFonts w:ascii="Arial" w:hAnsi="Arial" w:cs="Arial"/>
          <w:color w:val="010000"/>
          <w:sz w:val="20"/>
          <w:szCs w:val="20"/>
        </w:rPr>
      </w:pPr>
      <w:r w:rsidRPr="00AF57E7">
        <w:rPr>
          <w:rFonts w:ascii="Arial" w:hAnsi="Arial" w:cs="Arial"/>
          <w:color w:val="010000"/>
          <w:sz w:val="20"/>
        </w:rPr>
        <w:t xml:space="preserve">The Annual General Mandate of Sonadezi Long Binh Shareholding Company </w:t>
      </w:r>
      <w:r w:rsidR="00620E7A" w:rsidRPr="00AF57E7">
        <w:rPr>
          <w:rFonts w:ascii="Arial" w:hAnsi="Arial" w:cs="Arial"/>
          <w:color w:val="010000"/>
          <w:sz w:val="20"/>
        </w:rPr>
        <w:t xml:space="preserve">is </w:t>
      </w:r>
      <w:r w:rsidRPr="00AF57E7">
        <w:rPr>
          <w:rFonts w:ascii="Arial" w:hAnsi="Arial" w:cs="Arial"/>
          <w:color w:val="010000"/>
          <w:sz w:val="20"/>
        </w:rPr>
        <w:t>approved by all shareholders attending the meeting and takes effect from the date of its signing.</w:t>
      </w:r>
    </w:p>
    <w:sectPr w:rsidR="007428D2" w:rsidRPr="00AF57E7" w:rsidSect="00A87D99">
      <w:pgSz w:w="11900" w:h="16840"/>
      <w:pgMar w:top="1440" w:right="1440" w:bottom="1440" w:left="1440"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CF9A" w14:textId="77777777" w:rsidR="00C54EBC" w:rsidRDefault="00C54EBC"/>
  </w:endnote>
  <w:endnote w:type="continuationSeparator" w:id="0">
    <w:p w14:paraId="25DA02EA" w14:textId="77777777" w:rsidR="00C54EBC" w:rsidRDefault="00C5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5C84" w14:textId="77777777" w:rsidR="00C54EBC" w:rsidRDefault="00C54EBC"/>
  </w:footnote>
  <w:footnote w:type="continuationSeparator" w:id="0">
    <w:p w14:paraId="0730508C" w14:textId="77777777" w:rsidR="00C54EBC" w:rsidRDefault="00C54E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802877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978FFE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294E247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BD284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4BCBA2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04652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7A3BC7"/>
    <w:multiLevelType w:val="hybridMultilevel"/>
    <w:tmpl w:val="6C5A37E2"/>
    <w:lvl w:ilvl="0" w:tplc="B9EC10DC">
      <w:start w:val="1"/>
      <w:numFmt w:val="bullet"/>
      <w:lvlText w:val=""/>
      <w:lvlJc w:val="left"/>
      <w:pPr>
        <w:ind w:left="720" w:hanging="360"/>
      </w:pPr>
      <w:rPr>
        <w:rFonts w:ascii="Wingdings" w:hAnsi="Wingdings" w:hint="default"/>
        <w:b w:val="0"/>
        <w:i w:val="0"/>
        <w:sz w:val="20"/>
      </w:rPr>
    </w:lvl>
    <w:lvl w:ilvl="1" w:tplc="63EA793E" w:tentative="1">
      <w:start w:val="1"/>
      <w:numFmt w:val="bullet"/>
      <w:lvlText w:val="o"/>
      <w:lvlJc w:val="left"/>
      <w:pPr>
        <w:ind w:left="1440" w:hanging="360"/>
      </w:pPr>
      <w:rPr>
        <w:rFonts w:ascii="Courier New" w:hAnsi="Courier New" w:cs="Courier New" w:hint="default"/>
        <w:b w:val="0"/>
        <w:i w:val="0"/>
        <w:sz w:val="20"/>
      </w:rPr>
    </w:lvl>
    <w:lvl w:ilvl="2" w:tplc="21F62D9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20D3B"/>
    <w:multiLevelType w:val="hybridMultilevel"/>
    <w:tmpl w:val="18AA73F6"/>
    <w:lvl w:ilvl="0" w:tplc="486E2586">
      <w:start w:val="1"/>
      <w:numFmt w:val="bullet"/>
      <w:lvlText w:val="+"/>
      <w:lvlJc w:val="left"/>
      <w:pPr>
        <w:ind w:left="720" w:hanging="360"/>
      </w:pPr>
      <w:rPr>
        <w:rFonts w:ascii="Arial" w:hAnsi="Arial" w:hint="default"/>
        <w:b w:val="0"/>
        <w:i w:val="0"/>
        <w:sz w:val="20"/>
      </w:rPr>
    </w:lvl>
    <w:lvl w:ilvl="1" w:tplc="60622610" w:tentative="1">
      <w:start w:val="1"/>
      <w:numFmt w:val="bullet"/>
      <w:lvlText w:val="o"/>
      <w:lvlJc w:val="left"/>
      <w:pPr>
        <w:ind w:left="1440" w:hanging="360"/>
      </w:pPr>
      <w:rPr>
        <w:rFonts w:ascii="Courier New" w:hAnsi="Courier New" w:cs="Courier New" w:hint="default"/>
        <w:b w:val="0"/>
        <w:i w:val="0"/>
        <w:sz w:val="20"/>
      </w:rPr>
    </w:lvl>
    <w:lvl w:ilvl="2" w:tplc="418889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44833"/>
    <w:multiLevelType w:val="hybridMultilevel"/>
    <w:tmpl w:val="695420EE"/>
    <w:lvl w:ilvl="0" w:tplc="E4702E62">
      <w:start w:val="1"/>
      <w:numFmt w:val="bullet"/>
      <w:lvlText w:val="+"/>
      <w:lvlJc w:val="left"/>
      <w:pPr>
        <w:ind w:left="720" w:hanging="360"/>
      </w:pPr>
      <w:rPr>
        <w:rFonts w:ascii="Arial" w:hAnsi="Arial" w:hint="default"/>
        <w:b w:val="0"/>
        <w:i w:val="0"/>
        <w:sz w:val="20"/>
      </w:rPr>
    </w:lvl>
    <w:lvl w:ilvl="1" w:tplc="9BD839E4" w:tentative="1">
      <w:start w:val="1"/>
      <w:numFmt w:val="bullet"/>
      <w:lvlText w:val="o"/>
      <w:lvlJc w:val="left"/>
      <w:pPr>
        <w:ind w:left="1440" w:hanging="360"/>
      </w:pPr>
      <w:rPr>
        <w:rFonts w:ascii="Courier New" w:hAnsi="Courier New" w:cs="Courier New" w:hint="default"/>
        <w:b w:val="0"/>
        <w:i w:val="0"/>
        <w:sz w:val="20"/>
      </w:rPr>
    </w:lvl>
    <w:lvl w:ilvl="2" w:tplc="A67C5CD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304A8"/>
    <w:multiLevelType w:val="hybridMultilevel"/>
    <w:tmpl w:val="E8689DEE"/>
    <w:lvl w:ilvl="0" w:tplc="19B6C8E0">
      <w:start w:val="1"/>
      <w:numFmt w:val="bullet"/>
      <w:lvlText w:val=""/>
      <w:lvlJc w:val="left"/>
      <w:pPr>
        <w:ind w:left="720" w:hanging="360"/>
      </w:pPr>
      <w:rPr>
        <w:rFonts w:ascii="Symbol" w:hAnsi="Symbol" w:hint="default"/>
        <w:b w:val="0"/>
        <w:i w:val="0"/>
        <w:sz w:val="20"/>
      </w:rPr>
    </w:lvl>
    <w:lvl w:ilvl="1" w:tplc="C70A6D2E" w:tentative="1">
      <w:start w:val="1"/>
      <w:numFmt w:val="bullet"/>
      <w:lvlText w:val="o"/>
      <w:lvlJc w:val="left"/>
      <w:pPr>
        <w:ind w:left="1440" w:hanging="360"/>
      </w:pPr>
      <w:rPr>
        <w:rFonts w:ascii="Courier New" w:hAnsi="Courier New" w:cs="Courier New" w:hint="default"/>
        <w:b w:val="0"/>
        <w:i w:val="0"/>
        <w:sz w:val="20"/>
      </w:rPr>
    </w:lvl>
    <w:lvl w:ilvl="2" w:tplc="2730E9F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B570B"/>
    <w:multiLevelType w:val="hybridMultilevel"/>
    <w:tmpl w:val="1B36447A"/>
    <w:lvl w:ilvl="0" w:tplc="BD9CBE16">
      <w:start w:val="1"/>
      <w:numFmt w:val="bullet"/>
      <w:lvlText w:val=""/>
      <w:lvlJc w:val="left"/>
      <w:pPr>
        <w:ind w:left="720" w:hanging="360"/>
      </w:pPr>
      <w:rPr>
        <w:rFonts w:ascii="Symbol" w:hAnsi="Symbol" w:hint="default"/>
        <w:b w:val="0"/>
        <w:i w:val="0"/>
        <w:sz w:val="20"/>
      </w:rPr>
    </w:lvl>
    <w:lvl w:ilvl="1" w:tplc="987C4D08" w:tentative="1">
      <w:start w:val="1"/>
      <w:numFmt w:val="bullet"/>
      <w:lvlText w:val="o"/>
      <w:lvlJc w:val="left"/>
      <w:pPr>
        <w:ind w:left="1440" w:hanging="360"/>
      </w:pPr>
      <w:rPr>
        <w:rFonts w:ascii="Courier New" w:hAnsi="Courier New" w:cs="Courier New" w:hint="default"/>
        <w:b w:val="0"/>
        <w:i w:val="0"/>
        <w:sz w:val="20"/>
      </w:rPr>
    </w:lvl>
    <w:lvl w:ilvl="2" w:tplc="86EEE49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07D65"/>
    <w:multiLevelType w:val="hybridMultilevel"/>
    <w:tmpl w:val="3BB4EABE"/>
    <w:lvl w:ilvl="0" w:tplc="035EACE2">
      <w:start w:val="1"/>
      <w:numFmt w:val="bullet"/>
      <w:lvlText w:val=""/>
      <w:lvlJc w:val="left"/>
      <w:pPr>
        <w:ind w:left="720" w:hanging="360"/>
      </w:pPr>
      <w:rPr>
        <w:rFonts w:ascii="Wingdings" w:hAnsi="Wingdings" w:hint="default"/>
        <w:b w:val="0"/>
        <w:i w:val="0"/>
        <w:sz w:val="20"/>
      </w:rPr>
    </w:lvl>
    <w:lvl w:ilvl="1" w:tplc="A282EEA0" w:tentative="1">
      <w:start w:val="1"/>
      <w:numFmt w:val="bullet"/>
      <w:lvlText w:val="o"/>
      <w:lvlJc w:val="left"/>
      <w:pPr>
        <w:ind w:left="1440" w:hanging="360"/>
      </w:pPr>
      <w:rPr>
        <w:rFonts w:ascii="Courier New" w:hAnsi="Courier New" w:cs="Courier New" w:hint="default"/>
        <w:b w:val="0"/>
        <w:i w:val="0"/>
        <w:sz w:val="20"/>
      </w:rPr>
    </w:lvl>
    <w:lvl w:ilvl="2" w:tplc="FDA2C04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8"/>
  </w:num>
  <w:num w:numId="8">
    <w:abstractNumId w:val="11"/>
  </w:num>
  <w:num w:numId="9">
    <w:abstractNumId w:val="6"/>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D2"/>
    <w:rsid w:val="002941E4"/>
    <w:rsid w:val="003043C7"/>
    <w:rsid w:val="004773DD"/>
    <w:rsid w:val="00620E7A"/>
    <w:rsid w:val="00655BCE"/>
    <w:rsid w:val="007428D2"/>
    <w:rsid w:val="00A87D99"/>
    <w:rsid w:val="00AF57E7"/>
    <w:rsid w:val="00B67610"/>
    <w:rsid w:val="00C01BDF"/>
    <w:rsid w:val="00C54EBC"/>
    <w:rsid w:val="00D03957"/>
    <w:rsid w:val="00D05683"/>
    <w:rsid w:val="00FA5537"/>
    <w:rsid w:val="1DB8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20AE9"/>
  <w15:docId w15:val="{7C428798-D8CC-4166-A763-4EAEB29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6" w:qFormat="1"/>
    <w:lsdException w:name="Normal Indent" w:qFormat="1"/>
    <w:lsdException w:name="caption" w:semiHidden="1" w:unhideWhenUsed="1" w:qFormat="1"/>
    <w:lsdException w:name="page number" w:qFormat="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Title" w:qFormat="1"/>
    <w:lsdException w:name="Signature" w:qFormat="1"/>
    <w:lsdException w:name="List Continue 2" w:qFormat="1"/>
    <w:lsdException w:name="List Continue 3" w:qFormat="1"/>
    <w:lsdException w:name="List Continue 4" w:qFormat="1"/>
    <w:lsdException w:name="List Continue 5"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qFormat/>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pPr>
      <w:spacing w:after="80" w:line="298" w:lineRule="auto"/>
      <w:ind w:firstLine="20"/>
    </w:pPr>
    <w:rPr>
      <w:rFonts w:ascii="Times New Roman" w:eastAsia="Times New Roman" w:hAnsi="Times New Roman" w:cs="Times New Roman"/>
    </w:rPr>
  </w:style>
  <w:style w:type="character" w:customStyle="1" w:styleId="Tiu1">
    <w:name w:val="Tiêu đề #1_"/>
    <w:basedOn w:val="DefaultParagraphFont"/>
    <w:link w:val="Tiu10"/>
    <w:rPr>
      <w:rFonts w:ascii="Times New Roman" w:eastAsia="Times New Roman" w:hAnsi="Times New Roman" w:cs="Times New Roman"/>
      <w:b/>
      <w:bCs/>
      <w:sz w:val="30"/>
      <w:szCs w:val="30"/>
      <w:u w:val="none"/>
      <w:shd w:val="clear" w:color="auto" w:fill="auto"/>
    </w:rPr>
  </w:style>
  <w:style w:type="paragraph" w:customStyle="1" w:styleId="Tiu10">
    <w:name w:val="Tiêu đề #1"/>
    <w:basedOn w:val="Normal"/>
    <w:link w:val="Tiu1"/>
    <w:pPr>
      <w:spacing w:after="80"/>
      <w:jc w:val="center"/>
      <w:outlineLvl w:val="0"/>
    </w:pPr>
    <w:rPr>
      <w:rFonts w:ascii="Times New Roman" w:eastAsia="Times New Roman" w:hAnsi="Times New Roman" w:cs="Times New Roman"/>
      <w:b/>
      <w:bCs/>
      <w:sz w:val="30"/>
      <w:szCs w:val="30"/>
    </w:rPr>
  </w:style>
  <w:style w:type="character" w:customStyle="1" w:styleId="Vnbnnidung2">
    <w:name w:val="Văn bản nội dung (2)_"/>
    <w:basedOn w:val="DefaultParagraphFont"/>
    <w:link w:val="Vnbnnidung20"/>
    <w:rPr>
      <w:rFonts w:ascii="Times New Roman" w:eastAsia="Times New Roman" w:hAnsi="Times New Roman" w:cs="Times New Roman"/>
      <w:b/>
      <w:bCs/>
      <w:sz w:val="28"/>
      <w:szCs w:val="28"/>
      <w:u w:val="none"/>
      <w:shd w:val="clear" w:color="auto" w:fill="auto"/>
    </w:rPr>
  </w:style>
  <w:style w:type="paragraph" w:customStyle="1" w:styleId="Vnbnnidung20">
    <w:name w:val="Văn bản nội dung (2)"/>
    <w:basedOn w:val="Normal"/>
    <w:link w:val="Vnbnnidung2"/>
    <w:pPr>
      <w:spacing w:after="80"/>
      <w:jc w:val="center"/>
    </w:pPr>
    <w:rPr>
      <w:rFonts w:ascii="Times New Roman" w:eastAsia="Times New Roman" w:hAnsi="Times New Roman" w:cs="Times New Roman"/>
      <w:b/>
      <w:bCs/>
      <w:sz w:val="28"/>
      <w:szCs w:val="28"/>
    </w:rPr>
  </w:style>
  <w:style w:type="character" w:customStyle="1" w:styleId="Khc">
    <w:name w:val="Khác_"/>
    <w:basedOn w:val="DefaultParagraphFont"/>
    <w:link w:val="Khc0"/>
    <w:qFormat/>
    <w:rPr>
      <w:rFonts w:ascii="Times New Roman" w:eastAsia="Times New Roman" w:hAnsi="Times New Roman" w:cs="Times New Roman"/>
      <w:u w:val="none"/>
      <w:shd w:val="clear" w:color="auto" w:fill="auto"/>
    </w:rPr>
  </w:style>
  <w:style w:type="paragraph" w:customStyle="1" w:styleId="Khc0">
    <w:name w:val="Khác"/>
    <w:basedOn w:val="Normal"/>
    <w:link w:val="Khc"/>
    <w:pPr>
      <w:spacing w:after="80" w:line="298" w:lineRule="auto"/>
      <w:ind w:firstLine="20"/>
    </w:pPr>
    <w:rPr>
      <w:rFonts w:ascii="Times New Roman" w:eastAsia="Times New Roman" w:hAnsi="Times New Roman" w:cs="Times New Roman"/>
    </w:rPr>
  </w:style>
  <w:style w:type="character" w:customStyle="1" w:styleId="Chthchbng">
    <w:name w:val="Chú thích bảng_"/>
    <w:basedOn w:val="DefaultParagraphFont"/>
    <w:link w:val="Chthchbng0"/>
    <w:qFormat/>
    <w:rPr>
      <w:rFonts w:ascii="Times New Roman" w:eastAsia="Times New Roman" w:hAnsi="Times New Roman" w:cs="Times New Roman"/>
      <w:i/>
      <w:iCs/>
      <w:u w:val="none"/>
      <w:shd w:val="clear" w:color="auto" w:fill="auto"/>
    </w:rPr>
  </w:style>
  <w:style w:type="paragraph" w:customStyle="1" w:styleId="Chthchbng0">
    <w:name w:val="Chú thích bảng"/>
    <w:basedOn w:val="Normal"/>
    <w:link w:val="Chthchbng"/>
    <w:pPr>
      <w:jc w:val="right"/>
    </w:pPr>
    <w:rPr>
      <w:rFonts w:ascii="Times New Roman" w:eastAsia="Times New Roman" w:hAnsi="Times New Roman" w:cs="Times New Roman"/>
      <w:i/>
      <w:iCs/>
    </w:rPr>
  </w:style>
  <w:style w:type="character" w:customStyle="1" w:styleId="Vnbnnidung4">
    <w:name w:val="Văn bản nội dung (4)_"/>
    <w:basedOn w:val="DefaultParagraphFont"/>
    <w:link w:val="Vnbnnidung40"/>
    <w:qFormat/>
    <w:rPr>
      <w:rFonts w:ascii="Arial" w:eastAsia="Arial" w:hAnsi="Arial" w:cs="Arial"/>
      <w:b/>
      <w:bCs/>
      <w:color w:val="C81F42"/>
      <w:sz w:val="22"/>
      <w:szCs w:val="22"/>
      <w:u w:val="none"/>
      <w:shd w:val="clear" w:color="auto" w:fill="auto"/>
    </w:rPr>
  </w:style>
  <w:style w:type="paragraph" w:customStyle="1" w:styleId="Vnbnnidung40">
    <w:name w:val="Văn bản nội dung (4)"/>
    <w:basedOn w:val="Normal"/>
    <w:link w:val="Vnbnnidung4"/>
    <w:pPr>
      <w:spacing w:before="80" w:line="252" w:lineRule="auto"/>
    </w:pPr>
    <w:rPr>
      <w:rFonts w:ascii="Arial" w:eastAsia="Arial" w:hAnsi="Arial" w:cs="Arial"/>
      <w:b/>
      <w:bCs/>
      <w:color w:val="C81F42"/>
      <w:sz w:val="22"/>
      <w:szCs w:val="22"/>
    </w:rPr>
  </w:style>
  <w:style w:type="character" w:customStyle="1" w:styleId="Vnbnnidung3">
    <w:name w:val="Văn bản nội dung (3)_"/>
    <w:basedOn w:val="DefaultParagraphFont"/>
    <w:link w:val="Vnbnnidung30"/>
    <w:rPr>
      <w:rFonts w:ascii="Times New Roman" w:eastAsia="Times New Roman" w:hAnsi="Times New Roman" w:cs="Times New Roman"/>
      <w:sz w:val="20"/>
      <w:szCs w:val="20"/>
      <w:u w:val="none"/>
      <w:shd w:val="clear" w:color="auto" w:fill="auto"/>
    </w:rPr>
  </w:style>
  <w:style w:type="paragraph" w:customStyle="1" w:styleId="Vnbnnidung30">
    <w:name w:val="Văn bản nội dung (3)"/>
    <w:basedOn w:val="Normal"/>
    <w:link w:val="Vnbnnidung3"/>
    <w:pPr>
      <w:ind w:firstLine="7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Hoang Phuong Thao</cp:lastModifiedBy>
  <cp:revision>8</cp:revision>
  <dcterms:created xsi:type="dcterms:W3CDTF">2024-04-09T02:25:00Z</dcterms:created>
  <dcterms:modified xsi:type="dcterms:W3CDTF">2024-04-10T06:51:00Z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2FCFB5B36CEB4D66A6EAEC79A9B583E2_12</vt:lpwstr>
  </property>
  <property fmtid="{D5CDD505-2E9C-101B-9397-08002B2CF9AE}" pid="4" name="GrammarlyDocumentId">
    <vt:lpwstr>26da07073b09b503daf10a84d397b28315f05e91f5ca30edc155d5efc7d7b561</vt:lpwstr>
  </property>
</Properties>
</file>