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94CD" w14:textId="4CDBCE86" w:rsidR="00E15A7C" w:rsidRPr="00D535AA" w:rsidRDefault="00AA20FC" w:rsidP="00282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THD: Explanation on</w:t>
      </w:r>
      <w:bookmarkStart w:id="0" w:name="_GoBack"/>
      <w:bookmarkEnd w:id="0"/>
      <w:r w:rsidR="00417F6E" w:rsidRPr="00D535AA">
        <w:rPr>
          <w:rFonts w:ascii="Arial" w:hAnsi="Arial" w:cs="Arial"/>
          <w:b/>
          <w:color w:val="010000"/>
          <w:sz w:val="20"/>
        </w:rPr>
        <w:t xml:space="preserve"> d</w:t>
      </w:r>
      <w:r>
        <w:rPr>
          <w:rFonts w:ascii="Arial" w:hAnsi="Arial" w:cs="Arial"/>
          <w:b/>
          <w:color w:val="010000"/>
          <w:sz w:val="20"/>
        </w:rPr>
        <w:t>ifference in profit after tax</w:t>
      </w:r>
      <w:r w:rsidR="00417F6E" w:rsidRPr="00D535AA">
        <w:rPr>
          <w:rFonts w:ascii="Arial" w:hAnsi="Arial" w:cs="Arial"/>
          <w:b/>
          <w:color w:val="010000"/>
          <w:sz w:val="20"/>
        </w:rPr>
        <w:t xml:space="preserve"> 2023</w:t>
      </w:r>
    </w:p>
    <w:p w14:paraId="7E6544A0" w14:textId="77777777" w:rsidR="00E15A7C" w:rsidRPr="00D535AA" w:rsidRDefault="00417F6E" w:rsidP="00282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 xml:space="preserve">On April 01, 2024, </w:t>
      </w:r>
      <w:proofErr w:type="spellStart"/>
      <w:r w:rsidRPr="00D535AA">
        <w:rPr>
          <w:rFonts w:ascii="Arial" w:hAnsi="Arial" w:cs="Arial"/>
          <w:color w:val="010000"/>
          <w:sz w:val="20"/>
        </w:rPr>
        <w:t>Thaiholdings</w:t>
      </w:r>
      <w:proofErr w:type="spellEnd"/>
      <w:r w:rsidRPr="00D535AA">
        <w:rPr>
          <w:rFonts w:ascii="Arial" w:hAnsi="Arial" w:cs="Arial"/>
          <w:color w:val="010000"/>
          <w:sz w:val="20"/>
        </w:rPr>
        <w:t xml:space="preserve"> Joint Stock Company announced Official Dispatch No. 07/2024/THD-CV on explaining the difference in profit after tax in 2023 as follows: </w:t>
      </w:r>
    </w:p>
    <w:p w14:paraId="0E06AB42" w14:textId="63E57DD4" w:rsidR="00E15A7C" w:rsidRPr="00D535AA" w:rsidRDefault="00417F6E" w:rsidP="0028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Audited Separate Financial Statements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0"/>
        <w:gridCol w:w="2233"/>
        <w:gridCol w:w="1782"/>
        <w:gridCol w:w="1812"/>
        <w:gridCol w:w="1648"/>
        <w:gridCol w:w="1122"/>
      </w:tblGrid>
      <w:tr w:rsidR="00E15A7C" w:rsidRPr="00D535AA" w14:paraId="1EEF34C3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4C3A4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3B0D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3EB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28F8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In 2022 (adjusted)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A0059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C0DE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Difference between 2023 and 2022 (%)</w:t>
            </w:r>
          </w:p>
        </w:tc>
      </w:tr>
      <w:tr w:rsidR="00E15A7C" w:rsidRPr="00D535AA" w14:paraId="49726EC9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7D363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55FCB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8DEF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1,249,108,266,314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F6D7F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1,819,098,893,513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875F6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-569,990,627,199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21A28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-31.33%</w:t>
            </w:r>
          </w:p>
        </w:tc>
      </w:tr>
      <w:tr w:rsidR="00E15A7C" w:rsidRPr="00D535AA" w14:paraId="0853DD2C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0F168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9FB33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693E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1,185,505,142,124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46CCB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1,637,816,520,422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E6EDA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-452,311,378,298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F94F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-27.62%</w:t>
            </w:r>
          </w:p>
        </w:tc>
      </w:tr>
      <w:tr w:rsidR="00E15A7C" w:rsidRPr="00D535AA" w14:paraId="2C915CA6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88F11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54DDA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8736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63,603,124,190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FC34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181,282,373,091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46A77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-117,679,248,901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53CFC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-64.91%</w:t>
            </w:r>
          </w:p>
        </w:tc>
      </w:tr>
      <w:tr w:rsidR="00E15A7C" w:rsidRPr="00D535AA" w14:paraId="157A8A9A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C229F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91132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56011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24,949,019,515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328CB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177,388,717,237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0CB91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-152,439,697,722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E28A9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-85.94%</w:t>
            </w:r>
          </w:p>
        </w:tc>
      </w:tr>
      <w:tr w:rsidR="00E15A7C" w:rsidRPr="00D535AA" w14:paraId="3BA409DD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3FA0F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CC933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F626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1,288,656,984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EB7BA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917,136,348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B17EF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371,520,636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222F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40.51%</w:t>
            </w:r>
          </w:p>
        </w:tc>
      </w:tr>
      <w:tr w:rsidR="00E15A7C" w:rsidRPr="00D535AA" w14:paraId="41CD5FB2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B3C9A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0A733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B45C4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26,091,857,611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03BF6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20,135,126,537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8F1FC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5,956,731,074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80B11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29.58%</w:t>
            </w:r>
          </w:p>
        </w:tc>
      </w:tr>
      <w:tr w:rsidR="00E15A7C" w:rsidRPr="00D535AA" w14:paraId="3D4CF760" w14:textId="77777777" w:rsidTr="00417F6E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D10C5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93EFF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25FA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123,001,570,654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B76AA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231,031,063,448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413B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-108,029,492,794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443E1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-46.76%</w:t>
            </w:r>
          </w:p>
        </w:tc>
      </w:tr>
    </w:tbl>
    <w:p w14:paraId="3CAC8E6B" w14:textId="77777777" w:rsidR="00E15A7C" w:rsidRPr="00D535AA" w:rsidRDefault="00417F6E" w:rsidP="00282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The profit after tax in the Separate Financial Statement 2023 decreased by VND 108 billion, equivalent to a decrease of 46.76% year on year, due to the following reasons:</w:t>
      </w:r>
    </w:p>
    <w:p w14:paraId="42E07B7C" w14:textId="77777777" w:rsidR="00E15A7C" w:rsidRPr="00D535AA" w:rsidRDefault="00417F6E" w:rsidP="00282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In 2023, the net revenue from goods sales and service provision decreased by VND 569.9 billion, equivalent to a decrease of 31.33%, while the cost of goods sold decreased by 27.62%, which is lower than the decrease rate of the net revenue, leading to the decrease of 64.91% in the gross revenue from goods sales and service provision year on year.</w:t>
      </w:r>
    </w:p>
    <w:p w14:paraId="38EE0B01" w14:textId="77777777" w:rsidR="00E15A7C" w:rsidRPr="00D535AA" w:rsidRDefault="00417F6E" w:rsidP="00282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Revenue from financial activities in 2023 decreased by VND 152.4 billion, equivalent to a decrease of 85.94% year on year.</w:t>
      </w:r>
    </w:p>
    <w:p w14:paraId="1F28FFBB" w14:textId="77777777" w:rsidR="00E15A7C" w:rsidRPr="00D535AA" w:rsidRDefault="00417F6E" w:rsidP="00282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The selling expense and general and administrative expense in 2023 increased by VND 371 million and VND 5.9 billion, respectively, equivalent to the increase year on year of 40.51% and 29.58%, respectively.</w:t>
      </w:r>
    </w:p>
    <w:p w14:paraId="02E75EA9" w14:textId="7A0E448D" w:rsidR="00E15A7C" w:rsidRPr="00D535AA" w:rsidRDefault="00282CC6" w:rsidP="00282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2. </w:t>
      </w:r>
      <w:r w:rsidR="00417F6E" w:rsidRPr="00D535AA">
        <w:rPr>
          <w:rFonts w:ascii="Arial" w:hAnsi="Arial" w:cs="Arial"/>
          <w:color w:val="010000"/>
          <w:sz w:val="20"/>
        </w:rPr>
        <w:t>Audited Consolidated Financial Statements 2023: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5"/>
        <w:gridCol w:w="1870"/>
        <w:gridCol w:w="1800"/>
        <w:gridCol w:w="1800"/>
        <w:gridCol w:w="1901"/>
        <w:gridCol w:w="1091"/>
      </w:tblGrid>
      <w:tr w:rsidR="00E15A7C" w:rsidRPr="00D535AA" w14:paraId="5F036778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735F1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D0909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08EBC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07B50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In 2022 (adjusted)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7B509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8CF3F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 xml:space="preserve">Difference </w:t>
            </w:r>
            <w:r w:rsidRPr="00D535AA">
              <w:rPr>
                <w:rFonts w:ascii="Arial" w:hAnsi="Arial" w:cs="Arial"/>
                <w:color w:val="010000"/>
                <w:sz w:val="20"/>
              </w:rPr>
              <w:lastRenderedPageBreak/>
              <w:t>between 2023 and 2022 (%)</w:t>
            </w:r>
          </w:p>
        </w:tc>
      </w:tr>
      <w:tr w:rsidR="00E15A7C" w:rsidRPr="00D535AA" w14:paraId="2765F928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560A7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9BC64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CF40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1,870,236,357,826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9ECF5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4,112,639,747,243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45324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-2,242,403,389,417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6415B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-54.52%</w:t>
            </w:r>
          </w:p>
        </w:tc>
      </w:tr>
      <w:tr w:rsidR="00E15A7C" w:rsidRPr="00D535AA" w14:paraId="3E8C17E1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436BF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4EE3E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4847B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1,838,402,236,656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B5938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3,803,505,852,254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AA0D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-1,965,103,615,598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86C36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-51.67%</w:t>
            </w:r>
          </w:p>
        </w:tc>
      </w:tr>
      <w:tr w:rsidR="00E15A7C" w:rsidRPr="00D535AA" w14:paraId="43549027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CD86D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77E3B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24C7D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31,834,121,170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D33F3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309,133,894,989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B144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-277,299,773,819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35C3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-89.70%</w:t>
            </w:r>
          </w:p>
        </w:tc>
      </w:tr>
      <w:tr w:rsidR="00E15A7C" w:rsidRPr="00D535AA" w14:paraId="4B8121B3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B0588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FF251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00B4F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298,162,913,092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E8F2B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570,918,008,687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74AAD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-272,755,095,595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89176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-47.77%</w:t>
            </w:r>
          </w:p>
        </w:tc>
      </w:tr>
      <w:tr w:rsidR="00E15A7C" w:rsidRPr="00D535AA" w14:paraId="794315C8" w14:textId="77777777" w:rsidTr="00D535AA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6B4F5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8E82F" w14:textId="77777777" w:rsidR="00E15A7C" w:rsidRPr="00D535AA" w:rsidRDefault="00417F6E" w:rsidP="0041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00A00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224,505,007,760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C5AF2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310,304,758,682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9D18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-85,799,750,922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8EDAE" w14:textId="77777777" w:rsidR="00E15A7C" w:rsidRPr="00D535AA" w:rsidRDefault="00417F6E" w:rsidP="00D5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5AA">
              <w:rPr>
                <w:rFonts w:ascii="Arial" w:hAnsi="Arial" w:cs="Arial"/>
                <w:color w:val="010000"/>
                <w:sz w:val="20"/>
              </w:rPr>
              <w:t>-27.65%</w:t>
            </w:r>
          </w:p>
        </w:tc>
      </w:tr>
    </w:tbl>
    <w:p w14:paraId="1DA7973D" w14:textId="77777777" w:rsidR="00E15A7C" w:rsidRPr="00D535AA" w:rsidRDefault="00417F6E" w:rsidP="00282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The profit after tax in the Consolidated Financial Statement 2023 decreased by more than VND 85.7 billion, equivalent to a decrease of 27.65% year on year, due to the following reasons:</w:t>
      </w:r>
    </w:p>
    <w:p w14:paraId="4161C31F" w14:textId="77777777" w:rsidR="00E15A7C" w:rsidRPr="00D535AA" w:rsidRDefault="00417F6E" w:rsidP="00282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35AA">
        <w:rPr>
          <w:rFonts w:ascii="Arial" w:hAnsi="Arial" w:cs="Arial"/>
          <w:color w:val="010000"/>
          <w:sz w:val="20"/>
        </w:rPr>
        <w:t>The net revenue from goods sales and service provision decreased by VND 2,242 billion, equivalent to a decrease of 54.52%, while the cost of goods sold decreased by 51.67%, which is lower than the decrease rate of the net revenue, leading to the decrease of 89.70% in the gross revenue from goods sales and service provision year on year.</w:t>
      </w:r>
    </w:p>
    <w:p w14:paraId="5E874C6F" w14:textId="3FAC920B" w:rsidR="00E15A7C" w:rsidRPr="00D535AA" w:rsidRDefault="00282CC6" w:rsidP="00282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Revenue from financing</w:t>
      </w:r>
      <w:r w:rsidR="00417F6E" w:rsidRPr="00D535AA">
        <w:rPr>
          <w:rFonts w:ascii="Arial" w:hAnsi="Arial" w:cs="Arial"/>
          <w:color w:val="010000"/>
          <w:sz w:val="20"/>
        </w:rPr>
        <w:t xml:space="preserve"> activities decreased by VND 272.7 billion, equivalent to </w:t>
      </w:r>
      <w:r w:rsidR="00D535AA" w:rsidRPr="00D535AA">
        <w:rPr>
          <w:rFonts w:ascii="Arial" w:hAnsi="Arial" w:cs="Arial"/>
          <w:color w:val="010000"/>
          <w:sz w:val="20"/>
        </w:rPr>
        <w:t>a</w:t>
      </w:r>
      <w:r w:rsidR="00417F6E" w:rsidRPr="00D535AA">
        <w:rPr>
          <w:rFonts w:ascii="Arial" w:hAnsi="Arial" w:cs="Arial"/>
          <w:color w:val="010000"/>
          <w:sz w:val="20"/>
        </w:rPr>
        <w:t xml:space="preserve"> decrease of 47.77% over the same period last year.</w:t>
      </w:r>
    </w:p>
    <w:sectPr w:rsidR="00E15A7C" w:rsidRPr="00D535AA" w:rsidSect="00417F6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57"/>
    <w:multiLevelType w:val="multilevel"/>
    <w:tmpl w:val="FEE8A2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7E4"/>
    <w:multiLevelType w:val="multilevel"/>
    <w:tmpl w:val="9C6675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A9616F"/>
    <w:multiLevelType w:val="multilevel"/>
    <w:tmpl w:val="3350F5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C"/>
    <w:rsid w:val="00282CC6"/>
    <w:rsid w:val="00417F6E"/>
    <w:rsid w:val="00AA20FC"/>
    <w:rsid w:val="00D535AA"/>
    <w:rsid w:val="00E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FCFF3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341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341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4zHpH3s904949KoSg+DNp9hvqA==">CgMxLjA4AHIhMXhJLXlxOHpwd1FuOWJkR3V2UXdiSU80QkJBLWJScFRk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2024-04-10T03:50:00Z</dcterms:created>
  <dcterms:modified xsi:type="dcterms:W3CDTF">2024-04-10T03:50:00Z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c7d442d6c19d005243c4529b9fc9c60304372786778379b5c96af84e28cd6d99</vt:lpwstr>
  </property>
</Properties>
</file>