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27EBB" w:rsidRPr="000D08BB" w:rsidRDefault="005D0FF2" w:rsidP="007E536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0D08BB">
        <w:rPr>
          <w:rFonts w:ascii="Arial" w:hAnsi="Arial" w:cs="Arial"/>
          <w:b/>
          <w:color w:val="010000"/>
          <w:sz w:val="20"/>
        </w:rPr>
        <w:t>TJC: Annual General Mandate 2024</w:t>
      </w:r>
    </w:p>
    <w:p w14:paraId="00000002" w14:textId="77777777" w:rsidR="00B27EBB" w:rsidRPr="000D08BB" w:rsidRDefault="005D0FF2" w:rsidP="007E536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08BB">
        <w:rPr>
          <w:rFonts w:ascii="Arial" w:hAnsi="Arial" w:cs="Arial"/>
          <w:color w:val="010000"/>
          <w:sz w:val="20"/>
        </w:rPr>
        <w:t>On April 02, 2024, Transportation and Trading Services Joint Stock Company announced General Mandate No. 01/2024/NQ-DHDCD as follows:</w:t>
      </w:r>
    </w:p>
    <w:p w14:paraId="00000003" w14:textId="664D1C1C" w:rsidR="00B27EBB" w:rsidRPr="000D08BB" w:rsidRDefault="005D0FF2" w:rsidP="007E536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08BB">
        <w:rPr>
          <w:rFonts w:ascii="Arial" w:hAnsi="Arial" w:cs="Arial"/>
          <w:color w:val="010000"/>
          <w:sz w:val="20"/>
        </w:rPr>
        <w:t>Article 1: Approve the Report on activities of</w:t>
      </w:r>
      <w:r w:rsidR="00406864" w:rsidRPr="000D08BB">
        <w:rPr>
          <w:rFonts w:ascii="Arial" w:hAnsi="Arial" w:cs="Arial"/>
          <w:color w:val="010000"/>
          <w:sz w:val="20"/>
        </w:rPr>
        <w:t xml:space="preserve"> </w:t>
      </w:r>
      <w:r w:rsidRPr="000D08BB">
        <w:rPr>
          <w:rFonts w:ascii="Arial" w:hAnsi="Arial" w:cs="Arial"/>
          <w:color w:val="010000"/>
          <w:sz w:val="20"/>
        </w:rPr>
        <w:t>Board of Directors in 2023, the Audited Financial Statements 2023.</w:t>
      </w:r>
    </w:p>
    <w:p w14:paraId="00000004" w14:textId="5EB82FC0" w:rsidR="00B27EBB" w:rsidRPr="000D08BB" w:rsidRDefault="00566AA3" w:rsidP="007E536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08BB">
        <w:rPr>
          <w:rFonts w:ascii="Arial" w:hAnsi="Arial" w:cs="Arial"/>
          <w:color w:val="010000"/>
          <w:sz w:val="20"/>
        </w:rPr>
        <w:t>B</w:t>
      </w:r>
      <w:r w:rsidR="005D0FF2" w:rsidRPr="000D08BB">
        <w:rPr>
          <w:rFonts w:ascii="Arial" w:hAnsi="Arial" w:cs="Arial"/>
          <w:color w:val="010000"/>
          <w:sz w:val="20"/>
        </w:rPr>
        <w:t xml:space="preserve">asic financial </w:t>
      </w:r>
      <w:r w:rsidRPr="000D08BB">
        <w:rPr>
          <w:rFonts w:ascii="Arial" w:hAnsi="Arial" w:cs="Arial"/>
          <w:color w:val="010000"/>
          <w:sz w:val="20"/>
        </w:rPr>
        <w:t>targets</w:t>
      </w:r>
      <w:r w:rsidR="005D0FF2" w:rsidRPr="000D08BB">
        <w:rPr>
          <w:rFonts w:ascii="Arial" w:hAnsi="Arial" w:cs="Arial"/>
          <w:color w:val="010000"/>
          <w:sz w:val="20"/>
        </w:rPr>
        <w:t xml:space="preserve"> in 2023 </w:t>
      </w:r>
      <w:r w:rsidRPr="000D08BB">
        <w:rPr>
          <w:rFonts w:ascii="Arial" w:hAnsi="Arial" w:cs="Arial"/>
          <w:color w:val="010000"/>
          <w:sz w:val="20"/>
        </w:rPr>
        <w:t xml:space="preserve">are </w:t>
      </w:r>
      <w:r w:rsidR="005D0FF2" w:rsidRPr="000D08BB">
        <w:rPr>
          <w:rFonts w:ascii="Arial" w:hAnsi="Arial" w:cs="Arial"/>
          <w:color w:val="010000"/>
          <w:sz w:val="20"/>
        </w:rPr>
        <w:t>as follows:</w:t>
      </w:r>
    </w:p>
    <w:p w14:paraId="00000005" w14:textId="77777777" w:rsidR="00B27EBB" w:rsidRPr="000D08BB" w:rsidRDefault="005D0FF2" w:rsidP="007E53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08BB">
        <w:rPr>
          <w:rFonts w:ascii="Arial" w:hAnsi="Arial" w:cs="Arial"/>
          <w:color w:val="010000"/>
          <w:sz w:val="20"/>
        </w:rPr>
        <w:t>Total transport output: 147,159 tons</w:t>
      </w:r>
    </w:p>
    <w:p w14:paraId="00000006" w14:textId="77777777" w:rsidR="00B27EBB" w:rsidRPr="000D08BB" w:rsidRDefault="005D0FF2" w:rsidP="007E53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08BB">
        <w:rPr>
          <w:rFonts w:ascii="Arial" w:hAnsi="Arial" w:cs="Arial"/>
          <w:color w:val="010000"/>
          <w:sz w:val="20"/>
        </w:rPr>
        <w:t>Total revenue from production and business activities: VND 65,445,578,051</w:t>
      </w:r>
    </w:p>
    <w:p w14:paraId="00000007" w14:textId="77777777" w:rsidR="00B27EBB" w:rsidRPr="000D08BB" w:rsidRDefault="005D0FF2" w:rsidP="007E53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08BB">
        <w:rPr>
          <w:rFonts w:ascii="Arial" w:hAnsi="Arial" w:cs="Arial"/>
          <w:color w:val="010000"/>
          <w:sz w:val="20"/>
        </w:rPr>
        <w:t>Profit before tax in 2023: VND 50,081,026,427</w:t>
      </w:r>
    </w:p>
    <w:p w14:paraId="00000008" w14:textId="77777777" w:rsidR="00B27EBB" w:rsidRPr="000D08BB" w:rsidRDefault="005D0FF2" w:rsidP="007E53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08BB">
        <w:rPr>
          <w:rFonts w:ascii="Arial" w:hAnsi="Arial" w:cs="Arial"/>
          <w:color w:val="010000"/>
          <w:sz w:val="20"/>
        </w:rPr>
        <w:t>Profit after tax in 2023: VND 40,024,902,926.</w:t>
      </w:r>
    </w:p>
    <w:p w14:paraId="00000009" w14:textId="3CB3067C" w:rsidR="00B27EBB" w:rsidRPr="000D08BB" w:rsidRDefault="005D0FF2" w:rsidP="007E53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08BB">
        <w:rPr>
          <w:rFonts w:ascii="Arial" w:hAnsi="Arial" w:cs="Arial"/>
          <w:color w:val="010000"/>
          <w:sz w:val="20"/>
        </w:rPr>
        <w:t xml:space="preserve">Appropriation for funds: No appropriation </w:t>
      </w:r>
      <w:r w:rsidR="00566AA3" w:rsidRPr="000D08BB">
        <w:rPr>
          <w:rFonts w:ascii="Arial" w:hAnsi="Arial" w:cs="Arial"/>
          <w:color w:val="010000"/>
          <w:sz w:val="20"/>
        </w:rPr>
        <w:t>for</w:t>
      </w:r>
      <w:r w:rsidRPr="000D08BB">
        <w:rPr>
          <w:rFonts w:ascii="Arial" w:hAnsi="Arial" w:cs="Arial"/>
          <w:color w:val="010000"/>
          <w:sz w:val="20"/>
        </w:rPr>
        <w:t xml:space="preserve"> funds.</w:t>
      </w:r>
    </w:p>
    <w:p w14:paraId="0000000A" w14:textId="3C79BAD2" w:rsidR="00B27EBB" w:rsidRPr="000D08BB" w:rsidRDefault="005D0FF2" w:rsidP="007E536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677"/>
          <w:tab w:val="left" w:pos="679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08BB">
        <w:rPr>
          <w:rFonts w:ascii="Arial" w:hAnsi="Arial" w:cs="Arial"/>
          <w:color w:val="010000"/>
          <w:sz w:val="20"/>
        </w:rPr>
        <w:t>Article 2: Approv</w:t>
      </w:r>
      <w:r w:rsidR="00566AA3" w:rsidRPr="000D08BB">
        <w:rPr>
          <w:rFonts w:ascii="Arial" w:hAnsi="Arial" w:cs="Arial"/>
          <w:color w:val="010000"/>
          <w:sz w:val="20"/>
        </w:rPr>
        <w:t>e</w:t>
      </w:r>
      <w:r w:rsidRPr="000D08BB">
        <w:rPr>
          <w:rFonts w:ascii="Arial" w:hAnsi="Arial" w:cs="Arial"/>
          <w:color w:val="010000"/>
          <w:sz w:val="20"/>
        </w:rPr>
        <w:t xml:space="preserve"> the production and business plan in 2024 including the following main targets: </w:t>
      </w:r>
    </w:p>
    <w:p w14:paraId="0A7562DF" w14:textId="77777777" w:rsidR="00566AA3" w:rsidRPr="000D08BB" w:rsidRDefault="005D0FF2" w:rsidP="007E53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677"/>
          <w:tab w:val="left" w:pos="679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08BB">
        <w:rPr>
          <w:rFonts w:ascii="Arial" w:hAnsi="Arial" w:cs="Arial"/>
          <w:color w:val="010000"/>
          <w:sz w:val="20"/>
        </w:rPr>
        <w:t>Total transport output: 105,000 tons.</w:t>
      </w:r>
    </w:p>
    <w:p w14:paraId="0000000C" w14:textId="7292F2B1" w:rsidR="00B27EBB" w:rsidRPr="000D08BB" w:rsidRDefault="005D0FF2" w:rsidP="007E53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677"/>
          <w:tab w:val="left" w:pos="679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08BB">
        <w:rPr>
          <w:rFonts w:ascii="Arial" w:hAnsi="Arial" w:cs="Arial"/>
          <w:color w:val="010000"/>
          <w:sz w:val="20"/>
        </w:rPr>
        <w:t>Total revenue: VND 50,004,000,000</w:t>
      </w:r>
    </w:p>
    <w:p w14:paraId="0000000D" w14:textId="77777777" w:rsidR="00B27EBB" w:rsidRPr="000D08BB" w:rsidRDefault="005D0FF2" w:rsidP="007E536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08BB">
        <w:rPr>
          <w:rFonts w:ascii="Arial" w:hAnsi="Arial" w:cs="Arial"/>
          <w:color w:val="010000"/>
          <w:sz w:val="20"/>
        </w:rPr>
        <w:t>In which:</w:t>
      </w:r>
    </w:p>
    <w:p w14:paraId="0000000E" w14:textId="47BD4D21" w:rsidR="00B27EBB" w:rsidRPr="000D08BB" w:rsidRDefault="005D0FF2" w:rsidP="007E53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51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08BB">
        <w:rPr>
          <w:rFonts w:ascii="Arial" w:hAnsi="Arial" w:cs="Arial"/>
          <w:color w:val="010000"/>
          <w:sz w:val="20"/>
        </w:rPr>
        <w:t>Production and business activities: VND 44,804,000,000</w:t>
      </w:r>
    </w:p>
    <w:p w14:paraId="0DA76317" w14:textId="77777777" w:rsidR="00566AA3" w:rsidRPr="000D08BB" w:rsidRDefault="005D0FF2" w:rsidP="007E53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51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08BB">
        <w:rPr>
          <w:rFonts w:ascii="Arial" w:hAnsi="Arial" w:cs="Arial"/>
          <w:color w:val="010000"/>
          <w:sz w:val="20"/>
        </w:rPr>
        <w:t>Financial activities: VND 5,200,000,000</w:t>
      </w:r>
    </w:p>
    <w:p w14:paraId="74BA3C4C" w14:textId="27A82540" w:rsidR="00566AA3" w:rsidRPr="000D08BB" w:rsidRDefault="005D0FF2" w:rsidP="007E536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517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08BB">
        <w:rPr>
          <w:rFonts w:ascii="Arial" w:hAnsi="Arial" w:cs="Arial"/>
          <w:color w:val="010000"/>
          <w:sz w:val="20"/>
        </w:rPr>
        <w:t>Profit before tax</w:t>
      </w:r>
      <w:r w:rsidR="00566AA3" w:rsidRPr="000D08BB">
        <w:rPr>
          <w:rFonts w:ascii="Arial" w:hAnsi="Arial" w:cs="Arial"/>
          <w:color w:val="010000"/>
          <w:sz w:val="20"/>
        </w:rPr>
        <w:t>:</w:t>
      </w:r>
      <w:r w:rsidRPr="000D08BB">
        <w:rPr>
          <w:rFonts w:ascii="Arial" w:hAnsi="Arial" w:cs="Arial"/>
          <w:color w:val="010000"/>
          <w:sz w:val="20"/>
        </w:rPr>
        <w:t xml:space="preserve"> VND 4,476,000,000</w:t>
      </w:r>
    </w:p>
    <w:p w14:paraId="00000011" w14:textId="6DE7C8A0" w:rsidR="00B27EBB" w:rsidRPr="000D08BB" w:rsidRDefault="005D0FF2" w:rsidP="007E536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517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08BB">
        <w:rPr>
          <w:rFonts w:ascii="Arial" w:hAnsi="Arial" w:cs="Arial"/>
          <w:color w:val="010000"/>
          <w:sz w:val="20"/>
        </w:rPr>
        <w:t xml:space="preserve">Appropriation for funds: No appropriation </w:t>
      </w:r>
      <w:r w:rsidR="00566AA3" w:rsidRPr="000D08BB">
        <w:rPr>
          <w:rFonts w:ascii="Arial" w:hAnsi="Arial" w:cs="Arial"/>
          <w:color w:val="010000"/>
          <w:sz w:val="20"/>
        </w:rPr>
        <w:t>for</w:t>
      </w:r>
      <w:r w:rsidRPr="000D08BB">
        <w:rPr>
          <w:rFonts w:ascii="Arial" w:hAnsi="Arial" w:cs="Arial"/>
          <w:color w:val="010000"/>
          <w:sz w:val="20"/>
        </w:rPr>
        <w:t xml:space="preserve"> funds.</w:t>
      </w:r>
    </w:p>
    <w:p w14:paraId="00000012" w14:textId="14FF4C7A" w:rsidR="00B27EBB" w:rsidRPr="000D08BB" w:rsidRDefault="005D0FF2" w:rsidP="007E536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08BB">
        <w:rPr>
          <w:rFonts w:ascii="Arial" w:hAnsi="Arial" w:cs="Arial"/>
          <w:color w:val="010000"/>
          <w:sz w:val="20"/>
        </w:rPr>
        <w:t>Article 3: Approv</w:t>
      </w:r>
      <w:r w:rsidR="00566AA3" w:rsidRPr="000D08BB">
        <w:rPr>
          <w:rFonts w:ascii="Arial" w:hAnsi="Arial" w:cs="Arial"/>
          <w:color w:val="010000"/>
          <w:sz w:val="20"/>
        </w:rPr>
        <w:t>e</w:t>
      </w:r>
      <w:r w:rsidRPr="000D08BB">
        <w:rPr>
          <w:rFonts w:ascii="Arial" w:hAnsi="Arial" w:cs="Arial"/>
          <w:color w:val="010000"/>
          <w:sz w:val="20"/>
        </w:rPr>
        <w:t xml:space="preserve"> the Report on activities of </w:t>
      </w:r>
      <w:r w:rsidR="00566AA3" w:rsidRPr="000D08BB">
        <w:rPr>
          <w:rFonts w:ascii="Arial" w:hAnsi="Arial" w:cs="Arial"/>
          <w:color w:val="010000"/>
          <w:sz w:val="20"/>
        </w:rPr>
        <w:t xml:space="preserve">the </w:t>
      </w:r>
      <w:r w:rsidRPr="000D08BB">
        <w:rPr>
          <w:rFonts w:ascii="Arial" w:hAnsi="Arial" w:cs="Arial"/>
          <w:color w:val="010000"/>
          <w:sz w:val="20"/>
        </w:rPr>
        <w:t>Supervisory Board in 2023</w:t>
      </w:r>
      <w:r w:rsidR="00566AA3" w:rsidRPr="000D08BB">
        <w:rPr>
          <w:rFonts w:ascii="Arial" w:hAnsi="Arial" w:cs="Arial"/>
          <w:color w:val="010000"/>
          <w:sz w:val="20"/>
        </w:rPr>
        <w:t>, in which</w:t>
      </w:r>
      <w:r w:rsidR="00406864" w:rsidRPr="000D08BB">
        <w:rPr>
          <w:rFonts w:ascii="Arial" w:hAnsi="Arial" w:cs="Arial"/>
          <w:color w:val="010000"/>
          <w:sz w:val="20"/>
        </w:rPr>
        <w:t xml:space="preserve"> </w:t>
      </w:r>
      <w:r w:rsidRPr="000D08BB">
        <w:rPr>
          <w:rFonts w:ascii="Arial" w:hAnsi="Arial" w:cs="Arial"/>
          <w:color w:val="010000"/>
          <w:sz w:val="20"/>
        </w:rPr>
        <w:t xml:space="preserve">evaluating the activities of the Board of Directors, the </w:t>
      </w:r>
      <w:r w:rsidR="007E5366">
        <w:rPr>
          <w:rFonts w:ascii="Arial" w:hAnsi="Arial" w:cs="Arial"/>
          <w:color w:val="010000"/>
          <w:sz w:val="20"/>
        </w:rPr>
        <w:t>Executive Board</w:t>
      </w:r>
      <w:r w:rsidRPr="000D08BB">
        <w:rPr>
          <w:rFonts w:ascii="Arial" w:hAnsi="Arial" w:cs="Arial"/>
          <w:color w:val="010000"/>
          <w:sz w:val="20"/>
        </w:rPr>
        <w:t xml:space="preserve"> and appraising the Company's Financial Statements 2023.</w:t>
      </w:r>
    </w:p>
    <w:p w14:paraId="00000013" w14:textId="77777777" w:rsidR="00B27EBB" w:rsidRPr="000D08BB" w:rsidRDefault="005D0FF2" w:rsidP="007E536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08BB">
        <w:rPr>
          <w:rFonts w:ascii="Arial" w:hAnsi="Arial" w:cs="Arial"/>
          <w:color w:val="010000"/>
          <w:sz w:val="20"/>
        </w:rPr>
        <w:t>Article 4: Approve the authorization of the Board of Directors to select AASC Auditing Company Limited or Viet Nam Ernst &amp; Young Limited Company to audit the Company's Financial Statements 2024.</w:t>
      </w:r>
    </w:p>
    <w:p w14:paraId="00000014" w14:textId="78EB5A42" w:rsidR="00B27EBB" w:rsidRPr="000D08BB" w:rsidRDefault="005D0FF2" w:rsidP="007E536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08BB">
        <w:rPr>
          <w:rFonts w:ascii="Arial" w:hAnsi="Arial" w:cs="Arial"/>
          <w:color w:val="010000"/>
          <w:sz w:val="20"/>
        </w:rPr>
        <w:t xml:space="preserve">Article 5. Approve the remuneration </w:t>
      </w:r>
      <w:r w:rsidR="00566AA3" w:rsidRPr="000D08BB">
        <w:rPr>
          <w:rFonts w:ascii="Arial" w:hAnsi="Arial" w:cs="Arial"/>
          <w:color w:val="010000"/>
          <w:sz w:val="20"/>
        </w:rPr>
        <w:t>for</w:t>
      </w:r>
      <w:r w:rsidRPr="000D08BB">
        <w:rPr>
          <w:rFonts w:ascii="Arial" w:hAnsi="Arial" w:cs="Arial"/>
          <w:color w:val="010000"/>
          <w:sz w:val="20"/>
        </w:rPr>
        <w:t xml:space="preserve"> members of the Board of Directors, members of the Supervisory Board and Person in charge of corporate </w:t>
      </w:r>
      <w:r w:rsidR="00566AA3" w:rsidRPr="000D08BB">
        <w:rPr>
          <w:rFonts w:ascii="Arial" w:hAnsi="Arial" w:cs="Arial"/>
          <w:color w:val="010000"/>
          <w:sz w:val="20"/>
        </w:rPr>
        <w:t>governance</w:t>
      </w:r>
      <w:r w:rsidRPr="000D08BB">
        <w:rPr>
          <w:rFonts w:ascii="Arial" w:hAnsi="Arial" w:cs="Arial"/>
          <w:color w:val="010000"/>
          <w:sz w:val="20"/>
        </w:rPr>
        <w:t>-cum-</w:t>
      </w:r>
      <w:r w:rsidR="00566AA3" w:rsidRPr="000D08BB">
        <w:rPr>
          <w:rFonts w:ascii="Arial" w:hAnsi="Arial" w:cs="Arial"/>
          <w:color w:val="010000"/>
          <w:sz w:val="20"/>
        </w:rPr>
        <w:t>S</w:t>
      </w:r>
      <w:r w:rsidRPr="000D08BB">
        <w:rPr>
          <w:rFonts w:ascii="Arial" w:hAnsi="Arial" w:cs="Arial"/>
          <w:color w:val="010000"/>
          <w:sz w:val="20"/>
        </w:rPr>
        <w:t>ecretariat of the Company in 2024</w:t>
      </w:r>
      <w:r w:rsidR="00566AA3" w:rsidRPr="000D08BB">
        <w:rPr>
          <w:rFonts w:ascii="Arial" w:hAnsi="Arial" w:cs="Arial"/>
          <w:color w:val="010000"/>
          <w:sz w:val="20"/>
        </w:rPr>
        <w:t>,</w:t>
      </w:r>
      <w:r w:rsidRPr="000D08BB">
        <w:rPr>
          <w:rFonts w:ascii="Arial" w:hAnsi="Arial" w:cs="Arial"/>
          <w:color w:val="010000"/>
          <w:sz w:val="20"/>
        </w:rPr>
        <w:t xml:space="preserve"> </w:t>
      </w:r>
      <w:r w:rsidR="00566AA3" w:rsidRPr="000D08BB">
        <w:rPr>
          <w:rFonts w:ascii="Arial" w:hAnsi="Arial" w:cs="Arial"/>
          <w:color w:val="010000"/>
          <w:sz w:val="20"/>
        </w:rPr>
        <w:t xml:space="preserve">specifically </w:t>
      </w:r>
      <w:r w:rsidRPr="000D08BB">
        <w:rPr>
          <w:rFonts w:ascii="Arial" w:hAnsi="Arial" w:cs="Arial"/>
          <w:color w:val="010000"/>
          <w:sz w:val="20"/>
        </w:rPr>
        <w:t>as follows:</w:t>
      </w:r>
    </w:p>
    <w:p w14:paraId="00000015" w14:textId="364ABFDC" w:rsidR="00B27EBB" w:rsidRPr="000D08BB" w:rsidRDefault="005D0FF2" w:rsidP="007E536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ind w:left="0" w:firstLine="0"/>
        <w:contextualSpacing w:val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08BB">
        <w:rPr>
          <w:rFonts w:ascii="Arial" w:hAnsi="Arial" w:cs="Arial"/>
          <w:color w:val="010000"/>
          <w:sz w:val="20"/>
        </w:rPr>
        <w:t>Chair of the Board of Directors</w:t>
      </w:r>
      <w:r w:rsidR="00566AA3" w:rsidRPr="000D08BB">
        <w:rPr>
          <w:rFonts w:ascii="Arial" w:hAnsi="Arial" w:cs="Arial"/>
          <w:color w:val="010000"/>
          <w:sz w:val="20"/>
        </w:rPr>
        <w:t>:</w:t>
      </w:r>
      <w:r w:rsidRPr="000D08BB">
        <w:rPr>
          <w:rFonts w:ascii="Arial" w:hAnsi="Arial" w:cs="Arial"/>
          <w:color w:val="010000"/>
          <w:sz w:val="20"/>
        </w:rPr>
        <w:t xml:space="preserve"> VND 5,000,000/person/month</w:t>
      </w:r>
    </w:p>
    <w:p w14:paraId="00000016" w14:textId="6CAF3236" w:rsidR="00B27EBB" w:rsidRPr="000D08BB" w:rsidRDefault="005D0FF2" w:rsidP="007E536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ind w:left="0" w:firstLine="0"/>
        <w:contextualSpacing w:val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08BB">
        <w:rPr>
          <w:rFonts w:ascii="Arial" w:hAnsi="Arial" w:cs="Arial"/>
          <w:color w:val="010000"/>
          <w:sz w:val="20"/>
        </w:rPr>
        <w:t>Member of the Board of Directors: VND 3,000,000</w:t>
      </w:r>
      <w:r w:rsidR="00566AA3" w:rsidRPr="000D08BB">
        <w:rPr>
          <w:rFonts w:ascii="Arial" w:hAnsi="Arial" w:cs="Arial"/>
          <w:color w:val="010000"/>
          <w:sz w:val="20"/>
        </w:rPr>
        <w:t>/person/</w:t>
      </w:r>
      <w:r w:rsidRPr="000D08BB">
        <w:rPr>
          <w:rFonts w:ascii="Arial" w:hAnsi="Arial" w:cs="Arial"/>
          <w:color w:val="010000"/>
          <w:sz w:val="20"/>
        </w:rPr>
        <w:t>month</w:t>
      </w:r>
    </w:p>
    <w:p w14:paraId="00000017" w14:textId="182632E9" w:rsidR="00B27EBB" w:rsidRPr="000D08BB" w:rsidRDefault="005D0FF2" w:rsidP="007E536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ind w:left="0" w:firstLine="0"/>
        <w:contextualSpacing w:val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08BB">
        <w:rPr>
          <w:rFonts w:ascii="Arial" w:hAnsi="Arial" w:cs="Arial"/>
          <w:color w:val="010000"/>
          <w:sz w:val="20"/>
        </w:rPr>
        <w:t>Chief of the Supervisory Board: VND 3,000,000/person/month</w:t>
      </w:r>
    </w:p>
    <w:p w14:paraId="00000018" w14:textId="0C7BE0B3" w:rsidR="00B27EBB" w:rsidRPr="000D08BB" w:rsidRDefault="005D0FF2" w:rsidP="007E536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ind w:left="0" w:firstLine="0"/>
        <w:contextualSpacing w:val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08BB">
        <w:rPr>
          <w:rFonts w:ascii="Arial" w:hAnsi="Arial" w:cs="Arial"/>
          <w:color w:val="010000"/>
          <w:sz w:val="20"/>
        </w:rPr>
        <w:t>Member of the Supervisory Board: VND 2,500,000/person/month</w:t>
      </w:r>
    </w:p>
    <w:p w14:paraId="00000019" w14:textId="666B87F2" w:rsidR="00B27EBB" w:rsidRPr="000D08BB" w:rsidRDefault="005D0FF2" w:rsidP="007E536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ind w:left="0" w:firstLine="0"/>
        <w:contextualSpacing w:val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08BB">
        <w:rPr>
          <w:rFonts w:ascii="Arial" w:hAnsi="Arial" w:cs="Arial"/>
          <w:color w:val="010000"/>
          <w:sz w:val="20"/>
        </w:rPr>
        <w:t xml:space="preserve">Person in charge of corporate </w:t>
      </w:r>
      <w:r w:rsidR="00566AA3" w:rsidRPr="000D08BB">
        <w:rPr>
          <w:rFonts w:ascii="Arial" w:hAnsi="Arial" w:cs="Arial"/>
          <w:color w:val="010000"/>
          <w:sz w:val="20"/>
        </w:rPr>
        <w:t>governance</w:t>
      </w:r>
      <w:r w:rsidRPr="000D08BB">
        <w:rPr>
          <w:rFonts w:ascii="Arial" w:hAnsi="Arial" w:cs="Arial"/>
          <w:color w:val="010000"/>
          <w:sz w:val="20"/>
        </w:rPr>
        <w:t>-cum-</w:t>
      </w:r>
      <w:r w:rsidR="00566AA3" w:rsidRPr="000D08BB">
        <w:rPr>
          <w:rFonts w:ascii="Arial" w:hAnsi="Arial" w:cs="Arial"/>
          <w:color w:val="010000"/>
          <w:sz w:val="20"/>
        </w:rPr>
        <w:t>S</w:t>
      </w:r>
      <w:r w:rsidRPr="000D08BB">
        <w:rPr>
          <w:rFonts w:ascii="Arial" w:hAnsi="Arial" w:cs="Arial"/>
          <w:color w:val="010000"/>
          <w:sz w:val="20"/>
        </w:rPr>
        <w:t>ecretariat</w:t>
      </w:r>
      <w:r w:rsidR="00566AA3" w:rsidRPr="000D08BB">
        <w:rPr>
          <w:rFonts w:ascii="Arial" w:hAnsi="Arial" w:cs="Arial"/>
          <w:color w:val="010000"/>
          <w:sz w:val="20"/>
        </w:rPr>
        <w:t>:</w:t>
      </w:r>
      <w:r w:rsidRPr="000D08BB">
        <w:rPr>
          <w:rFonts w:ascii="Arial" w:hAnsi="Arial" w:cs="Arial"/>
          <w:color w:val="010000"/>
          <w:sz w:val="20"/>
        </w:rPr>
        <w:t xml:space="preserve"> VND 2,000,000/person/month</w:t>
      </w:r>
    </w:p>
    <w:p w14:paraId="0000001A" w14:textId="4DCBB5C0" w:rsidR="00B27EBB" w:rsidRPr="000D08BB" w:rsidRDefault="005D0FF2" w:rsidP="007E536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08BB">
        <w:rPr>
          <w:rFonts w:ascii="Arial" w:hAnsi="Arial" w:cs="Arial"/>
          <w:color w:val="010000"/>
          <w:sz w:val="20"/>
        </w:rPr>
        <w:lastRenderedPageBreak/>
        <w:t>Article 6: The General Meeting approve</w:t>
      </w:r>
      <w:r w:rsidR="00566AA3" w:rsidRPr="000D08BB">
        <w:rPr>
          <w:rFonts w:ascii="Arial" w:hAnsi="Arial" w:cs="Arial"/>
          <w:color w:val="010000"/>
          <w:sz w:val="20"/>
        </w:rPr>
        <w:t>s</w:t>
      </w:r>
      <w:r w:rsidRPr="000D08BB">
        <w:rPr>
          <w:rFonts w:ascii="Arial" w:hAnsi="Arial" w:cs="Arial"/>
          <w:color w:val="010000"/>
          <w:sz w:val="20"/>
        </w:rPr>
        <w:t xml:space="preserve"> the salary budget spent in 2023 as: VND 10,589,753,686.</w:t>
      </w:r>
    </w:p>
    <w:p w14:paraId="0000001B" w14:textId="45FEDFA7" w:rsidR="00B27EBB" w:rsidRPr="000D08BB" w:rsidRDefault="005D0FF2" w:rsidP="007E536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08BB">
        <w:rPr>
          <w:rFonts w:ascii="Arial" w:hAnsi="Arial" w:cs="Arial"/>
          <w:color w:val="010000"/>
          <w:sz w:val="20"/>
        </w:rPr>
        <w:t xml:space="preserve">Article 7: Approve </w:t>
      </w:r>
      <w:proofErr w:type="spellStart"/>
      <w:r w:rsidRPr="000D08BB">
        <w:rPr>
          <w:rFonts w:ascii="Arial" w:hAnsi="Arial" w:cs="Arial"/>
          <w:color w:val="010000"/>
          <w:sz w:val="20"/>
        </w:rPr>
        <w:t>Transimex</w:t>
      </w:r>
      <w:proofErr w:type="spellEnd"/>
      <w:r w:rsidRPr="000D08BB">
        <w:rPr>
          <w:rFonts w:ascii="Arial" w:hAnsi="Arial" w:cs="Arial"/>
          <w:color w:val="010000"/>
          <w:sz w:val="20"/>
        </w:rPr>
        <w:t xml:space="preserve"> </w:t>
      </w:r>
      <w:r w:rsidR="00566AA3" w:rsidRPr="000D08BB">
        <w:rPr>
          <w:rFonts w:ascii="Arial" w:hAnsi="Arial" w:cs="Arial"/>
          <w:color w:val="010000"/>
          <w:sz w:val="20"/>
        </w:rPr>
        <w:t>C</w:t>
      </w:r>
      <w:r w:rsidRPr="000D08BB">
        <w:rPr>
          <w:rFonts w:ascii="Arial" w:hAnsi="Arial" w:cs="Arial"/>
          <w:color w:val="010000"/>
          <w:sz w:val="20"/>
        </w:rPr>
        <w:t>orporation</w:t>
      </w:r>
      <w:r w:rsidR="00406864" w:rsidRPr="000D08BB">
        <w:rPr>
          <w:rFonts w:ascii="Arial" w:hAnsi="Arial" w:cs="Arial"/>
          <w:color w:val="010000"/>
          <w:sz w:val="20"/>
        </w:rPr>
        <w:t xml:space="preserve"> </w:t>
      </w:r>
      <w:r w:rsidRPr="000D08BB">
        <w:rPr>
          <w:rFonts w:ascii="Arial" w:hAnsi="Arial" w:cs="Arial"/>
          <w:color w:val="010000"/>
          <w:sz w:val="20"/>
        </w:rPr>
        <w:t>purchasing the number of TJC shares from the Transferor whose ownership reaches or exceeds 55% of the voting shares of Transport and Trading Services Joint Stock Company</w:t>
      </w:r>
      <w:r w:rsidR="00566AA3" w:rsidRPr="000D08BB">
        <w:rPr>
          <w:rFonts w:ascii="Arial" w:hAnsi="Arial" w:cs="Arial"/>
          <w:color w:val="010000"/>
          <w:sz w:val="20"/>
        </w:rPr>
        <w:t xml:space="preserve"> without </w:t>
      </w:r>
      <w:r w:rsidRPr="000D08BB">
        <w:rPr>
          <w:rFonts w:ascii="Arial" w:hAnsi="Arial" w:cs="Arial"/>
          <w:color w:val="010000"/>
          <w:sz w:val="20"/>
        </w:rPr>
        <w:t>carry</w:t>
      </w:r>
      <w:r w:rsidR="00566AA3" w:rsidRPr="000D08BB">
        <w:rPr>
          <w:rFonts w:ascii="Arial" w:hAnsi="Arial" w:cs="Arial"/>
          <w:color w:val="010000"/>
          <w:sz w:val="20"/>
        </w:rPr>
        <w:t>ing</w:t>
      </w:r>
      <w:r w:rsidRPr="000D08BB">
        <w:rPr>
          <w:rFonts w:ascii="Arial" w:hAnsi="Arial" w:cs="Arial"/>
          <w:color w:val="010000"/>
          <w:sz w:val="20"/>
        </w:rPr>
        <w:t xml:space="preserve"> out</w:t>
      </w:r>
      <w:r w:rsidR="00566AA3" w:rsidRPr="000D08BB">
        <w:rPr>
          <w:rFonts w:ascii="Arial" w:hAnsi="Arial" w:cs="Arial"/>
          <w:color w:val="010000"/>
          <w:sz w:val="20"/>
        </w:rPr>
        <w:t xml:space="preserve"> </w:t>
      </w:r>
      <w:r w:rsidRPr="000D08BB">
        <w:rPr>
          <w:rFonts w:ascii="Arial" w:hAnsi="Arial" w:cs="Arial"/>
          <w:color w:val="010000"/>
          <w:sz w:val="20"/>
        </w:rPr>
        <w:t xml:space="preserve">procedures </w:t>
      </w:r>
      <w:r w:rsidR="00566AA3" w:rsidRPr="000D08BB">
        <w:rPr>
          <w:rFonts w:ascii="Arial" w:hAnsi="Arial" w:cs="Arial"/>
          <w:color w:val="010000"/>
          <w:sz w:val="20"/>
        </w:rPr>
        <w:t xml:space="preserve">for public offering </w:t>
      </w:r>
      <w:r w:rsidRPr="000D08BB">
        <w:rPr>
          <w:rFonts w:ascii="Arial" w:hAnsi="Arial" w:cs="Arial"/>
          <w:color w:val="010000"/>
          <w:sz w:val="20"/>
        </w:rPr>
        <w:t>as prescribed by law.</w:t>
      </w:r>
    </w:p>
    <w:p w14:paraId="0000001C" w14:textId="77777777" w:rsidR="00B27EBB" w:rsidRPr="000D08BB" w:rsidRDefault="005D0FF2" w:rsidP="007E53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02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08BB">
        <w:rPr>
          <w:rFonts w:ascii="Arial" w:hAnsi="Arial" w:cs="Arial"/>
          <w:color w:val="010000"/>
          <w:sz w:val="20"/>
        </w:rPr>
        <w:t xml:space="preserve">Transferee: </w:t>
      </w:r>
      <w:proofErr w:type="spellStart"/>
      <w:r w:rsidRPr="000D08BB">
        <w:rPr>
          <w:rFonts w:ascii="Arial" w:hAnsi="Arial" w:cs="Arial"/>
          <w:color w:val="010000"/>
          <w:sz w:val="20"/>
        </w:rPr>
        <w:t>Transimex</w:t>
      </w:r>
      <w:proofErr w:type="spellEnd"/>
      <w:r w:rsidRPr="000D08BB">
        <w:rPr>
          <w:rFonts w:ascii="Arial" w:hAnsi="Arial" w:cs="Arial"/>
          <w:color w:val="010000"/>
          <w:sz w:val="20"/>
        </w:rPr>
        <w:t xml:space="preserve"> Corporation</w:t>
      </w:r>
    </w:p>
    <w:p w14:paraId="0000001D" w14:textId="49065770" w:rsidR="00B27EBB" w:rsidRPr="000D08BB" w:rsidRDefault="005D0FF2" w:rsidP="007E53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06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08BB">
        <w:rPr>
          <w:rFonts w:ascii="Arial" w:hAnsi="Arial" w:cs="Arial"/>
          <w:color w:val="010000"/>
          <w:sz w:val="20"/>
        </w:rPr>
        <w:t xml:space="preserve">Transferor: </w:t>
      </w:r>
      <w:proofErr w:type="spellStart"/>
      <w:r w:rsidRPr="000D08BB">
        <w:rPr>
          <w:rFonts w:ascii="Arial" w:hAnsi="Arial" w:cs="Arial"/>
          <w:color w:val="010000"/>
          <w:sz w:val="20"/>
        </w:rPr>
        <w:t>C</w:t>
      </w:r>
      <w:r w:rsidR="00406864" w:rsidRPr="000D08BB">
        <w:rPr>
          <w:rFonts w:ascii="Arial" w:hAnsi="Arial" w:cs="Arial"/>
          <w:color w:val="010000"/>
          <w:sz w:val="20"/>
        </w:rPr>
        <w:t>ô</w:t>
      </w:r>
      <w:r w:rsidRPr="000D08BB">
        <w:rPr>
          <w:rFonts w:ascii="Arial" w:hAnsi="Arial" w:cs="Arial"/>
          <w:color w:val="010000"/>
          <w:sz w:val="20"/>
        </w:rPr>
        <w:t>ng</w:t>
      </w:r>
      <w:proofErr w:type="spellEnd"/>
      <w:r w:rsidRPr="000D08BB">
        <w:rPr>
          <w:rFonts w:ascii="Arial" w:hAnsi="Arial" w:cs="Arial"/>
          <w:color w:val="010000"/>
          <w:sz w:val="20"/>
        </w:rPr>
        <w:t xml:space="preserve"> ty TNHH </w:t>
      </w:r>
      <w:proofErr w:type="spellStart"/>
      <w:r w:rsidR="00406864" w:rsidRPr="000D08BB">
        <w:rPr>
          <w:rFonts w:ascii="Arial" w:hAnsi="Arial" w:cs="Arial"/>
          <w:color w:val="010000"/>
          <w:sz w:val="20"/>
        </w:rPr>
        <w:t>Đ</w:t>
      </w:r>
      <w:r w:rsidRPr="000D08BB">
        <w:rPr>
          <w:rFonts w:ascii="Arial" w:hAnsi="Arial" w:cs="Arial"/>
          <w:color w:val="010000"/>
          <w:sz w:val="20"/>
        </w:rPr>
        <w:t>ầu</w:t>
      </w:r>
      <w:proofErr w:type="spellEnd"/>
      <w:r w:rsidRPr="000D08BB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0D08BB">
        <w:rPr>
          <w:rFonts w:ascii="Arial" w:hAnsi="Arial" w:cs="Arial"/>
          <w:color w:val="010000"/>
          <w:sz w:val="20"/>
        </w:rPr>
        <w:t>tư</w:t>
      </w:r>
      <w:proofErr w:type="spellEnd"/>
      <w:r w:rsidRPr="000D08BB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0D08BB">
        <w:rPr>
          <w:rFonts w:ascii="Arial" w:hAnsi="Arial" w:cs="Arial"/>
          <w:color w:val="010000"/>
          <w:sz w:val="20"/>
        </w:rPr>
        <w:t>và</w:t>
      </w:r>
      <w:proofErr w:type="spellEnd"/>
      <w:r w:rsidRPr="000D08BB">
        <w:rPr>
          <w:rFonts w:ascii="Arial" w:hAnsi="Arial" w:cs="Arial"/>
          <w:color w:val="010000"/>
          <w:sz w:val="20"/>
        </w:rPr>
        <w:t xml:space="preserve"> Thương </w:t>
      </w:r>
      <w:proofErr w:type="spellStart"/>
      <w:r w:rsidRPr="000D08BB">
        <w:rPr>
          <w:rFonts w:ascii="Arial" w:hAnsi="Arial" w:cs="Arial"/>
          <w:color w:val="010000"/>
          <w:sz w:val="20"/>
        </w:rPr>
        <w:t>mại</w:t>
      </w:r>
      <w:proofErr w:type="spellEnd"/>
      <w:r w:rsidRPr="000D08BB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0D08BB">
        <w:rPr>
          <w:rFonts w:ascii="Arial" w:hAnsi="Arial" w:cs="Arial"/>
          <w:color w:val="010000"/>
          <w:sz w:val="20"/>
        </w:rPr>
        <w:t>Thiên</w:t>
      </w:r>
      <w:proofErr w:type="spellEnd"/>
      <w:r w:rsidRPr="000D08BB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0D08BB">
        <w:rPr>
          <w:rFonts w:ascii="Arial" w:hAnsi="Arial" w:cs="Arial"/>
          <w:color w:val="010000"/>
          <w:sz w:val="20"/>
        </w:rPr>
        <w:t>Hải</w:t>
      </w:r>
      <w:proofErr w:type="spellEnd"/>
      <w:r w:rsidRPr="000D08BB">
        <w:rPr>
          <w:rFonts w:ascii="Arial" w:hAnsi="Arial" w:cs="Arial"/>
          <w:color w:val="010000"/>
          <w:sz w:val="20"/>
        </w:rPr>
        <w:t xml:space="preserve"> (tentatively translated as </w:t>
      </w:r>
      <w:proofErr w:type="spellStart"/>
      <w:r w:rsidRPr="000D08BB">
        <w:rPr>
          <w:rFonts w:ascii="Arial" w:hAnsi="Arial" w:cs="Arial"/>
          <w:color w:val="010000"/>
          <w:sz w:val="20"/>
        </w:rPr>
        <w:t>Thien</w:t>
      </w:r>
      <w:proofErr w:type="spellEnd"/>
      <w:r w:rsidRPr="000D08BB">
        <w:rPr>
          <w:rFonts w:ascii="Arial" w:hAnsi="Arial" w:cs="Arial"/>
          <w:color w:val="010000"/>
          <w:sz w:val="20"/>
        </w:rPr>
        <w:t xml:space="preserve"> Hai Investment and Trading Company Limited), New Asia Investment Corporation, </w:t>
      </w:r>
      <w:proofErr w:type="spellStart"/>
      <w:r w:rsidRPr="000D08BB">
        <w:rPr>
          <w:rFonts w:ascii="Arial" w:hAnsi="Arial" w:cs="Arial"/>
          <w:color w:val="010000"/>
          <w:sz w:val="20"/>
        </w:rPr>
        <w:t>C</w:t>
      </w:r>
      <w:r w:rsidR="00406864" w:rsidRPr="000D08BB">
        <w:rPr>
          <w:rFonts w:ascii="Arial" w:hAnsi="Arial" w:cs="Arial"/>
          <w:color w:val="010000"/>
          <w:sz w:val="20"/>
        </w:rPr>
        <w:t>ô</w:t>
      </w:r>
      <w:r w:rsidRPr="000D08BB">
        <w:rPr>
          <w:rFonts w:ascii="Arial" w:hAnsi="Arial" w:cs="Arial"/>
          <w:color w:val="010000"/>
          <w:sz w:val="20"/>
        </w:rPr>
        <w:t>ng</w:t>
      </w:r>
      <w:proofErr w:type="spellEnd"/>
      <w:r w:rsidRPr="000D08BB">
        <w:rPr>
          <w:rFonts w:ascii="Arial" w:hAnsi="Arial" w:cs="Arial"/>
          <w:color w:val="010000"/>
          <w:sz w:val="20"/>
        </w:rPr>
        <w:t xml:space="preserve"> ty </w:t>
      </w:r>
      <w:proofErr w:type="spellStart"/>
      <w:r w:rsidRPr="000D08BB">
        <w:rPr>
          <w:rFonts w:ascii="Arial" w:hAnsi="Arial" w:cs="Arial"/>
          <w:color w:val="010000"/>
          <w:sz w:val="20"/>
        </w:rPr>
        <w:t>cổ</w:t>
      </w:r>
      <w:proofErr w:type="spellEnd"/>
      <w:r w:rsidRPr="000D08BB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0D08BB">
        <w:rPr>
          <w:rFonts w:ascii="Arial" w:hAnsi="Arial" w:cs="Arial"/>
          <w:color w:val="010000"/>
          <w:sz w:val="20"/>
        </w:rPr>
        <w:t>phần</w:t>
      </w:r>
      <w:proofErr w:type="spellEnd"/>
      <w:r w:rsidRPr="000D08BB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0D08BB">
        <w:rPr>
          <w:rFonts w:ascii="Arial" w:hAnsi="Arial" w:cs="Arial"/>
          <w:color w:val="010000"/>
          <w:sz w:val="20"/>
        </w:rPr>
        <w:t>dịch</w:t>
      </w:r>
      <w:proofErr w:type="spellEnd"/>
      <w:r w:rsidRPr="000D08BB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0D08BB">
        <w:rPr>
          <w:rFonts w:ascii="Arial" w:hAnsi="Arial" w:cs="Arial"/>
          <w:color w:val="010000"/>
          <w:sz w:val="20"/>
        </w:rPr>
        <w:t>vụ</w:t>
      </w:r>
      <w:proofErr w:type="spellEnd"/>
      <w:r w:rsidRPr="000D08BB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0D08BB">
        <w:rPr>
          <w:rFonts w:ascii="Arial" w:hAnsi="Arial" w:cs="Arial"/>
          <w:color w:val="010000"/>
          <w:sz w:val="20"/>
        </w:rPr>
        <w:t>Văn</w:t>
      </w:r>
      <w:proofErr w:type="spellEnd"/>
      <w:r w:rsidRPr="000D08BB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0D08BB">
        <w:rPr>
          <w:rFonts w:ascii="Arial" w:hAnsi="Arial" w:cs="Arial"/>
          <w:color w:val="010000"/>
          <w:sz w:val="20"/>
        </w:rPr>
        <w:t>Hóa</w:t>
      </w:r>
      <w:proofErr w:type="spellEnd"/>
      <w:r w:rsidRPr="000D08BB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0D08BB">
        <w:rPr>
          <w:rFonts w:ascii="Arial" w:hAnsi="Arial" w:cs="Arial"/>
          <w:color w:val="010000"/>
          <w:sz w:val="20"/>
        </w:rPr>
        <w:t>Vi</w:t>
      </w:r>
      <w:r w:rsidR="00406864" w:rsidRPr="000D08BB">
        <w:rPr>
          <w:rFonts w:ascii="Arial" w:hAnsi="Arial" w:cs="Arial"/>
          <w:color w:val="010000"/>
          <w:sz w:val="20"/>
        </w:rPr>
        <w:t>ệ</w:t>
      </w:r>
      <w:r w:rsidRPr="000D08BB">
        <w:rPr>
          <w:rFonts w:ascii="Arial" w:hAnsi="Arial" w:cs="Arial"/>
          <w:color w:val="010000"/>
          <w:sz w:val="20"/>
        </w:rPr>
        <w:t>t</w:t>
      </w:r>
      <w:proofErr w:type="spellEnd"/>
      <w:r w:rsidRPr="000D08BB">
        <w:rPr>
          <w:rFonts w:ascii="Arial" w:hAnsi="Arial" w:cs="Arial"/>
          <w:color w:val="010000"/>
          <w:sz w:val="20"/>
        </w:rPr>
        <w:t xml:space="preserve"> (tentatively translated as Viet Culture Services Joint Stock Company)</w:t>
      </w:r>
    </w:p>
    <w:p w14:paraId="0000001E" w14:textId="6E15C6C8" w:rsidR="00B27EBB" w:rsidRPr="000D08BB" w:rsidRDefault="005D0FF2" w:rsidP="007E53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06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08BB">
        <w:rPr>
          <w:rFonts w:ascii="Arial" w:hAnsi="Arial" w:cs="Arial"/>
          <w:color w:val="010000"/>
          <w:sz w:val="20"/>
        </w:rPr>
        <w:t xml:space="preserve">Transfer method: Matching transactions and/or agreements </w:t>
      </w:r>
      <w:r w:rsidR="007E5366">
        <w:rPr>
          <w:rFonts w:ascii="Arial" w:hAnsi="Arial" w:cs="Arial"/>
          <w:color w:val="010000"/>
          <w:sz w:val="20"/>
        </w:rPr>
        <w:t>under applicable laws</w:t>
      </w:r>
    </w:p>
    <w:p w14:paraId="0000001F" w14:textId="21259BFF" w:rsidR="00B27EBB" w:rsidRPr="000D08BB" w:rsidRDefault="005D0FF2" w:rsidP="007E53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06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08BB">
        <w:rPr>
          <w:rFonts w:ascii="Arial" w:hAnsi="Arial" w:cs="Arial"/>
          <w:color w:val="010000"/>
          <w:sz w:val="20"/>
        </w:rPr>
        <w:t xml:space="preserve">Implementation time: After the </w:t>
      </w:r>
      <w:r w:rsidR="00566AA3" w:rsidRPr="000D08BB">
        <w:rPr>
          <w:rFonts w:ascii="Arial" w:hAnsi="Arial" w:cs="Arial"/>
          <w:color w:val="010000"/>
          <w:sz w:val="20"/>
        </w:rPr>
        <w:t xml:space="preserve">approval of </w:t>
      </w:r>
      <w:r w:rsidRPr="000D08BB">
        <w:rPr>
          <w:rFonts w:ascii="Arial" w:hAnsi="Arial" w:cs="Arial"/>
          <w:color w:val="010000"/>
          <w:sz w:val="20"/>
        </w:rPr>
        <w:t>Annual General Meeting 2024 of Transport and Trading Services Joint Stock Company.</w:t>
      </w:r>
    </w:p>
    <w:p w14:paraId="00000021" w14:textId="4DFA0A23" w:rsidR="00B27EBB" w:rsidRPr="000D08BB" w:rsidRDefault="005D0FF2" w:rsidP="007E53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05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08BB">
        <w:rPr>
          <w:rFonts w:ascii="Arial" w:hAnsi="Arial" w:cs="Arial"/>
          <w:color w:val="010000"/>
          <w:sz w:val="20"/>
        </w:rPr>
        <w:t>Assign the Board of Directors to decide on issues related to the above transfer transaction.</w:t>
      </w:r>
    </w:p>
    <w:p w14:paraId="00000022" w14:textId="77777777" w:rsidR="00B27EBB" w:rsidRPr="000D08BB" w:rsidRDefault="005D0FF2" w:rsidP="007E536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0D08BB">
        <w:rPr>
          <w:rFonts w:ascii="Arial" w:hAnsi="Arial" w:cs="Arial"/>
          <w:color w:val="010000"/>
          <w:sz w:val="20"/>
        </w:rPr>
        <w:t xml:space="preserve">Article 8: Approve the dividend payment plan of 9% in cash in 2023 with a total payment of VND 7,740,000,000. </w:t>
      </w:r>
    </w:p>
    <w:p w14:paraId="3221BCF3" w14:textId="2C3289BE" w:rsidR="003C50C9" w:rsidRPr="000D08BB" w:rsidRDefault="003C50C9" w:rsidP="007E536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08BB">
        <w:rPr>
          <w:rFonts w:ascii="Arial" w:eastAsia="Arial" w:hAnsi="Arial" w:cs="Arial"/>
          <w:color w:val="010000"/>
          <w:sz w:val="20"/>
          <w:szCs w:val="20"/>
        </w:rPr>
        <w:t xml:space="preserve">The number of voting shares </w:t>
      </w:r>
      <w:r w:rsidR="000D08BB">
        <w:rPr>
          <w:rFonts w:ascii="Arial" w:eastAsia="Arial" w:hAnsi="Arial" w:cs="Arial"/>
          <w:color w:val="010000"/>
          <w:sz w:val="20"/>
          <w:szCs w:val="20"/>
        </w:rPr>
        <w:t>is 4,979,680</w:t>
      </w:r>
      <w:r w:rsidRPr="000D08BB">
        <w:rPr>
          <w:rFonts w:ascii="Arial" w:eastAsia="Arial" w:hAnsi="Arial" w:cs="Arial"/>
          <w:color w:val="010000"/>
          <w:sz w:val="20"/>
          <w:szCs w:val="20"/>
        </w:rPr>
        <w:t xml:space="preserve"> shares, accounting for 62.58% of shares with voting rights to attend the General Meeting.</w:t>
      </w:r>
    </w:p>
    <w:p w14:paraId="00000023" w14:textId="2D4553E9" w:rsidR="00B27EBB" w:rsidRPr="000D08BB" w:rsidRDefault="005D0FF2" w:rsidP="007E536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08BB">
        <w:rPr>
          <w:rFonts w:ascii="Arial" w:hAnsi="Arial" w:cs="Arial"/>
          <w:color w:val="010000"/>
          <w:sz w:val="20"/>
        </w:rPr>
        <w:t>Article 9: This General Mandate takes effect from April 2, 2024. Members of the Board of Directors</w:t>
      </w:r>
      <w:r w:rsidR="007E5366">
        <w:rPr>
          <w:rFonts w:ascii="Arial" w:hAnsi="Arial" w:cs="Arial"/>
          <w:color w:val="010000"/>
          <w:sz w:val="20"/>
        </w:rPr>
        <w:t xml:space="preserve"> and</w:t>
      </w:r>
      <w:r w:rsidR="003C50C9" w:rsidRPr="000D08BB">
        <w:rPr>
          <w:rFonts w:ascii="Arial" w:hAnsi="Arial" w:cs="Arial"/>
          <w:color w:val="010000"/>
          <w:sz w:val="20"/>
        </w:rPr>
        <w:t xml:space="preserve"> </w:t>
      </w:r>
      <w:r w:rsidRPr="000D08BB">
        <w:rPr>
          <w:rFonts w:ascii="Arial" w:hAnsi="Arial" w:cs="Arial"/>
          <w:color w:val="010000"/>
          <w:sz w:val="20"/>
        </w:rPr>
        <w:t xml:space="preserve">Supervisory Board and </w:t>
      </w:r>
      <w:r w:rsidR="007E5366">
        <w:rPr>
          <w:rFonts w:ascii="Arial" w:hAnsi="Arial" w:cs="Arial"/>
          <w:color w:val="010000"/>
          <w:sz w:val="20"/>
        </w:rPr>
        <w:t>Managing Directo</w:t>
      </w:r>
      <w:r w:rsidRPr="000D08BB">
        <w:rPr>
          <w:rFonts w:ascii="Arial" w:hAnsi="Arial" w:cs="Arial"/>
          <w:color w:val="010000"/>
          <w:sz w:val="20"/>
        </w:rPr>
        <w:t xml:space="preserve">r of the Company </w:t>
      </w:r>
      <w:r w:rsidR="003C50C9" w:rsidRPr="000D08BB">
        <w:rPr>
          <w:rFonts w:ascii="Arial" w:hAnsi="Arial" w:cs="Arial"/>
          <w:color w:val="010000"/>
          <w:sz w:val="20"/>
        </w:rPr>
        <w:t>shall</w:t>
      </w:r>
      <w:r w:rsidRPr="000D08BB">
        <w:rPr>
          <w:rFonts w:ascii="Arial" w:hAnsi="Arial" w:cs="Arial"/>
          <w:color w:val="010000"/>
          <w:sz w:val="20"/>
        </w:rPr>
        <w:t xml:space="preserve"> base on the General Mandate</w:t>
      </w:r>
      <w:r w:rsidR="003C50C9" w:rsidRPr="000D08BB">
        <w:rPr>
          <w:rFonts w:ascii="Arial" w:hAnsi="Arial" w:cs="Arial"/>
          <w:color w:val="010000"/>
          <w:sz w:val="20"/>
        </w:rPr>
        <w:t xml:space="preserve"> to implement</w:t>
      </w:r>
      <w:r w:rsidRPr="000D08BB">
        <w:rPr>
          <w:rFonts w:ascii="Arial" w:hAnsi="Arial" w:cs="Arial"/>
          <w:color w:val="010000"/>
          <w:sz w:val="20"/>
        </w:rPr>
        <w:t>.</w:t>
      </w:r>
    </w:p>
    <w:p w14:paraId="00000024" w14:textId="2EC5BBE5" w:rsidR="00B27EBB" w:rsidRPr="000D08BB" w:rsidRDefault="005D0FF2" w:rsidP="007E536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08BB">
        <w:rPr>
          <w:rFonts w:ascii="Arial" w:hAnsi="Arial" w:cs="Arial"/>
          <w:color w:val="010000"/>
          <w:sz w:val="20"/>
        </w:rPr>
        <w:t xml:space="preserve">This General Mandate </w:t>
      </w:r>
      <w:r w:rsidR="003C50C9" w:rsidRPr="000D08BB">
        <w:rPr>
          <w:rFonts w:ascii="Arial" w:hAnsi="Arial" w:cs="Arial"/>
          <w:color w:val="010000"/>
          <w:sz w:val="20"/>
        </w:rPr>
        <w:t>is</w:t>
      </w:r>
      <w:r w:rsidRPr="000D08BB">
        <w:rPr>
          <w:rFonts w:ascii="Arial" w:hAnsi="Arial" w:cs="Arial"/>
          <w:color w:val="010000"/>
          <w:sz w:val="20"/>
        </w:rPr>
        <w:t xml:space="preserve"> read and approved at the Annual General Meeting </w:t>
      </w:r>
      <w:r w:rsidRPr="000D08BB">
        <w:rPr>
          <w:rFonts w:ascii="Arial" w:hAnsi="Arial" w:cs="Arial"/>
          <w:bCs/>
          <w:color w:val="010000"/>
          <w:sz w:val="20"/>
        </w:rPr>
        <w:t xml:space="preserve">2024 </w:t>
      </w:r>
      <w:r w:rsidR="007E5366">
        <w:rPr>
          <w:rFonts w:ascii="Arial" w:hAnsi="Arial" w:cs="Arial"/>
          <w:color w:val="010000"/>
          <w:sz w:val="20"/>
        </w:rPr>
        <w:t>at 10.30am</w:t>
      </w:r>
      <w:bookmarkStart w:id="0" w:name="_GoBack"/>
      <w:bookmarkEnd w:id="0"/>
      <w:r w:rsidRPr="000D08BB">
        <w:rPr>
          <w:rFonts w:ascii="Arial" w:hAnsi="Arial" w:cs="Arial"/>
          <w:color w:val="010000"/>
          <w:sz w:val="20"/>
        </w:rPr>
        <w:t xml:space="preserve"> on April 2, 2024.</w:t>
      </w:r>
    </w:p>
    <w:sectPr w:rsidR="00B27EBB" w:rsidRPr="000D08BB" w:rsidSect="00836047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21ECB"/>
    <w:multiLevelType w:val="multilevel"/>
    <w:tmpl w:val="290862B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915E08"/>
    <w:multiLevelType w:val="multilevel"/>
    <w:tmpl w:val="617E9C2C"/>
    <w:lvl w:ilvl="0">
      <w:start w:val="1"/>
      <w:numFmt w:val="bullet"/>
      <w:lvlText w:val="*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A290141"/>
    <w:multiLevelType w:val="multilevel"/>
    <w:tmpl w:val="9AF2D67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F7C2E33"/>
    <w:multiLevelType w:val="hybridMultilevel"/>
    <w:tmpl w:val="1CC40D42"/>
    <w:lvl w:ilvl="0" w:tplc="A838FC5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E7069"/>
    <w:multiLevelType w:val="hybridMultilevel"/>
    <w:tmpl w:val="A79A6670"/>
    <w:lvl w:ilvl="0" w:tplc="55D42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375ACB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20"/>
      </w:rPr>
    </w:lvl>
    <w:lvl w:ilvl="2" w:tplc="3FE6DC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BB"/>
    <w:rsid w:val="000D08BB"/>
    <w:rsid w:val="003C50C9"/>
    <w:rsid w:val="00406864"/>
    <w:rsid w:val="00566AA3"/>
    <w:rsid w:val="005D0FF2"/>
    <w:rsid w:val="007E5366"/>
    <w:rsid w:val="00836047"/>
    <w:rsid w:val="00B2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1F1BBD"/>
  <w15:docId w15:val="{A945EFAF-E27B-49FE-9073-A9900BFF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/>
      <w:bCs/>
      <w:i w:val="0"/>
      <w:iCs w:val="0"/>
      <w:smallCaps w:val="0"/>
      <w:strike w:val="0"/>
      <w:color w:val="994250"/>
      <w:w w:val="70"/>
      <w:sz w:val="19"/>
      <w:szCs w:val="19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BodyText">
    <w:name w:val="Body Text"/>
    <w:basedOn w:val="Normal"/>
    <w:link w:val="BodyTextChar"/>
    <w:qFormat/>
    <w:pPr>
      <w:spacing w:line="262" w:lineRule="auto"/>
      <w:ind w:firstLine="20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Normal"/>
    <w:link w:val="Bodytext7"/>
    <w:pPr>
      <w:jc w:val="center"/>
    </w:pPr>
    <w:rPr>
      <w:rFonts w:ascii="Arial" w:eastAsia="Arial" w:hAnsi="Arial" w:cs="Arial"/>
      <w:sz w:val="32"/>
      <w:szCs w:val="32"/>
    </w:rPr>
  </w:style>
  <w:style w:type="paragraph" w:customStyle="1" w:styleId="Bodytext50">
    <w:name w:val="Body text (5)"/>
    <w:basedOn w:val="Normal"/>
    <w:link w:val="Bodytext5"/>
    <w:pPr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21">
    <w:name w:val="Heading #2"/>
    <w:basedOn w:val="Normal"/>
    <w:link w:val="Heading20"/>
    <w:pPr>
      <w:spacing w:line="245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pPr>
      <w:ind w:left="160" w:firstLine="60"/>
    </w:pPr>
    <w:rPr>
      <w:rFonts w:ascii="Arial" w:eastAsia="Arial" w:hAnsi="Arial" w:cs="Arial"/>
      <w:b/>
      <w:bCs/>
      <w:sz w:val="8"/>
      <w:szCs w:val="8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20">
    <w:name w:val="Body text (2)"/>
    <w:basedOn w:val="Normal"/>
    <w:link w:val="Bodytext2"/>
    <w:pPr>
      <w:spacing w:line="307" w:lineRule="auto"/>
    </w:pPr>
    <w:rPr>
      <w:rFonts w:ascii="Arial" w:eastAsia="Arial" w:hAnsi="Arial" w:cs="Arial"/>
      <w:sz w:val="17"/>
      <w:szCs w:val="17"/>
    </w:rPr>
  </w:style>
  <w:style w:type="paragraph" w:customStyle="1" w:styleId="Bodytext60">
    <w:name w:val="Body text (6)"/>
    <w:basedOn w:val="Normal"/>
    <w:link w:val="Bodytext6"/>
    <w:pPr>
      <w:spacing w:line="319" w:lineRule="auto"/>
    </w:pPr>
    <w:rPr>
      <w:rFonts w:ascii="Arial" w:eastAsia="Arial" w:hAnsi="Arial" w:cs="Arial"/>
      <w:b/>
      <w:bCs/>
      <w:color w:val="994250"/>
      <w:w w:val="70"/>
      <w:sz w:val="19"/>
      <w:szCs w:val="19"/>
    </w:rPr>
  </w:style>
  <w:style w:type="paragraph" w:customStyle="1" w:styleId="Other0">
    <w:name w:val="Other"/>
    <w:basedOn w:val="Normal"/>
    <w:link w:val="Other"/>
    <w:pPr>
      <w:spacing w:line="262" w:lineRule="auto"/>
      <w:ind w:firstLine="20"/>
    </w:pPr>
    <w:rPr>
      <w:rFonts w:ascii="Times New Roman" w:eastAsia="Times New Roman" w:hAnsi="Times New Roman" w:cs="Times New Roman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D0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Z/LQIXIX7bRMf0EKCe/R8rCm6w==">CgMxLjA4AHIhMXREdTA3OUxJSUhtZERkQ1h5Q2RUemhVc1RKLXlXajgt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2024-04-10T03:23:00Z</dcterms:created>
  <dcterms:modified xsi:type="dcterms:W3CDTF">2024-04-10T03:23:00Z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ee7fd66cb3119aa4bcdda5a981de4441f9d904891786d9fb0346e533e76b676a</vt:lpwstr>
  </property>
</Properties>
</file>