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5E1BB" w14:textId="77777777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02567">
        <w:rPr>
          <w:rFonts w:ascii="Arial" w:hAnsi="Arial" w:cs="Arial"/>
          <w:b/>
          <w:sz w:val="20"/>
        </w:rPr>
        <w:t xml:space="preserve">TTG: Board Resolution </w:t>
      </w:r>
    </w:p>
    <w:p w14:paraId="6BB1A0F7" w14:textId="77DF377B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 xml:space="preserve">On April 8, 2024, Thanh Tri Garment JSC announced Resolution No. 07/2024/NQ-HDQT on upgrading and renovating </w:t>
      </w:r>
      <w:r w:rsidR="002B0683" w:rsidRPr="00C02567">
        <w:rPr>
          <w:rFonts w:ascii="Arial" w:hAnsi="Arial" w:cs="Arial"/>
          <w:sz w:val="20"/>
        </w:rPr>
        <w:t xml:space="preserve">the </w:t>
      </w:r>
      <w:r w:rsidRPr="00C02567">
        <w:rPr>
          <w:rFonts w:ascii="Arial" w:hAnsi="Arial" w:cs="Arial"/>
          <w:sz w:val="20"/>
        </w:rPr>
        <w:t>factor</w:t>
      </w:r>
      <w:r w:rsidR="002B0683" w:rsidRPr="00C02567">
        <w:rPr>
          <w:rFonts w:ascii="Arial" w:hAnsi="Arial" w:cs="Arial"/>
          <w:sz w:val="20"/>
        </w:rPr>
        <w:t>y</w:t>
      </w:r>
      <w:r w:rsidRPr="00C02567">
        <w:rPr>
          <w:rFonts w:ascii="Arial" w:hAnsi="Arial" w:cs="Arial"/>
          <w:sz w:val="20"/>
        </w:rPr>
        <w:t xml:space="preserve"> as follows:</w:t>
      </w:r>
    </w:p>
    <w:p w14:paraId="1879225D" w14:textId="49606BC2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>‎‎Article 1. Approve the implementation of upgrading and renovating the factory of Thanh Tri Garment JSC at Lot 1 - CN3, Ngoc Hoi Industrial Cluster, Ngoc Hoi Commune, Thanh Tri District, Ha Noi as follows:</w:t>
      </w:r>
      <w:r w:rsidR="002B0683" w:rsidRPr="00C02567">
        <w:rPr>
          <w:rFonts w:ascii="Arial" w:hAnsi="Arial" w:cs="Arial"/>
          <w:sz w:val="20"/>
        </w:rPr>
        <w:t xml:space="preserve"> </w:t>
      </w:r>
    </w:p>
    <w:p w14:paraId="7A27FC5C" w14:textId="33E31859" w:rsidR="005709AF" w:rsidRPr="00C02567" w:rsidRDefault="00447DA1" w:rsidP="00C15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>Total investment capital</w:t>
      </w:r>
      <w:r w:rsidR="002B0683" w:rsidRPr="00C02567">
        <w:rPr>
          <w:rFonts w:ascii="Arial" w:hAnsi="Arial" w:cs="Arial"/>
          <w:sz w:val="20"/>
        </w:rPr>
        <w:t xml:space="preserve">: </w:t>
      </w:r>
      <w:r w:rsidRPr="00C02567">
        <w:rPr>
          <w:rFonts w:ascii="Arial" w:hAnsi="Arial" w:cs="Arial"/>
          <w:sz w:val="20"/>
        </w:rPr>
        <w:t>VND 4,000,000,000</w:t>
      </w:r>
      <w:r w:rsidR="002B0683" w:rsidRPr="00C02567">
        <w:rPr>
          <w:rFonts w:ascii="Arial" w:hAnsi="Arial" w:cs="Arial"/>
          <w:sz w:val="20"/>
        </w:rPr>
        <w:t xml:space="preserve"> (expected)</w:t>
      </w:r>
      <w:r w:rsidRPr="00C02567">
        <w:rPr>
          <w:rFonts w:ascii="Arial" w:hAnsi="Arial" w:cs="Arial"/>
          <w:sz w:val="20"/>
        </w:rPr>
        <w:t xml:space="preserve">, </w:t>
      </w:r>
      <w:r w:rsidR="002B0683" w:rsidRPr="00C02567">
        <w:rPr>
          <w:rFonts w:ascii="Arial" w:hAnsi="Arial" w:cs="Arial"/>
          <w:sz w:val="20"/>
        </w:rPr>
        <w:t>in</w:t>
      </w:r>
      <w:r w:rsidRPr="00C02567">
        <w:rPr>
          <w:rFonts w:ascii="Arial" w:hAnsi="Arial" w:cs="Arial"/>
          <w:sz w:val="20"/>
        </w:rPr>
        <w:t xml:space="preserve"> which: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1"/>
        <w:gridCol w:w="5988"/>
        <w:gridCol w:w="2307"/>
      </w:tblGrid>
      <w:tr w:rsidR="005709AF" w:rsidRPr="00C02567" w14:paraId="10C5A2A0" w14:textId="77777777" w:rsidTr="00447DA1">
        <w:tc>
          <w:tcPr>
            <w:tcW w:w="415" w:type="pct"/>
            <w:shd w:val="clear" w:color="auto" w:fill="auto"/>
            <w:vAlign w:val="center"/>
          </w:tcPr>
          <w:p w14:paraId="6B094690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3310" w:type="pct"/>
            <w:shd w:val="clear" w:color="auto" w:fill="auto"/>
            <w:vAlign w:val="center"/>
          </w:tcPr>
          <w:p w14:paraId="5DE4E6F1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Content of capital investment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17C834B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Value (VND)</w:t>
            </w:r>
          </w:p>
        </w:tc>
      </w:tr>
      <w:tr w:rsidR="005709AF" w:rsidRPr="00C02567" w14:paraId="42619134" w14:textId="77777777" w:rsidTr="00447DA1">
        <w:tc>
          <w:tcPr>
            <w:tcW w:w="415" w:type="pct"/>
            <w:shd w:val="clear" w:color="auto" w:fill="auto"/>
            <w:vAlign w:val="center"/>
          </w:tcPr>
          <w:p w14:paraId="08FC8774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10" w:type="pct"/>
            <w:shd w:val="clear" w:color="auto" w:fill="auto"/>
            <w:vAlign w:val="center"/>
          </w:tcPr>
          <w:p w14:paraId="5AE530E0" w14:textId="77777777" w:rsidR="005709AF" w:rsidRPr="00C02567" w:rsidRDefault="00447DA1" w:rsidP="002B06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Investment capital for construction, renovation and upgrading of work items of the factory.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590E302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3,000,000,000</w:t>
            </w:r>
          </w:p>
        </w:tc>
      </w:tr>
      <w:tr w:rsidR="005709AF" w:rsidRPr="00C02567" w14:paraId="65607931" w14:textId="77777777" w:rsidTr="00447DA1">
        <w:tc>
          <w:tcPr>
            <w:tcW w:w="415" w:type="pct"/>
            <w:shd w:val="clear" w:color="auto" w:fill="auto"/>
            <w:vAlign w:val="center"/>
          </w:tcPr>
          <w:p w14:paraId="340C4AB0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10" w:type="pct"/>
            <w:shd w:val="clear" w:color="auto" w:fill="auto"/>
            <w:vAlign w:val="center"/>
          </w:tcPr>
          <w:p w14:paraId="569A10C3" w14:textId="2304CEBF" w:rsidR="005709AF" w:rsidRPr="00C02567" w:rsidRDefault="00447DA1" w:rsidP="002B06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 xml:space="preserve">Investment capital </w:t>
            </w:r>
            <w:r w:rsidR="002B0683" w:rsidRPr="00C02567">
              <w:rPr>
                <w:rFonts w:ascii="Arial" w:hAnsi="Arial" w:cs="Arial"/>
                <w:sz w:val="20"/>
              </w:rPr>
              <w:t>for</w:t>
            </w:r>
            <w:r w:rsidRPr="00C02567">
              <w:rPr>
                <w:rFonts w:ascii="Arial" w:hAnsi="Arial" w:cs="Arial"/>
                <w:sz w:val="20"/>
              </w:rPr>
              <w:t xml:space="preserve"> upgrad</w:t>
            </w:r>
            <w:r w:rsidR="002B0683" w:rsidRPr="00C02567">
              <w:rPr>
                <w:rFonts w:ascii="Arial" w:hAnsi="Arial" w:cs="Arial"/>
                <w:sz w:val="20"/>
              </w:rPr>
              <w:t>ing of</w:t>
            </w:r>
            <w:r w:rsidRPr="00C02567">
              <w:rPr>
                <w:rFonts w:ascii="Arial" w:hAnsi="Arial" w:cs="Arial"/>
                <w:sz w:val="20"/>
              </w:rPr>
              <w:t xml:space="preserve"> equipment and machinery at the factory.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F81E5F9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1,000,000,000</w:t>
            </w:r>
          </w:p>
        </w:tc>
      </w:tr>
      <w:tr w:rsidR="005709AF" w:rsidRPr="00C02567" w14:paraId="3382B861" w14:textId="77777777" w:rsidTr="00447DA1">
        <w:tc>
          <w:tcPr>
            <w:tcW w:w="415" w:type="pct"/>
            <w:shd w:val="clear" w:color="auto" w:fill="auto"/>
            <w:vAlign w:val="center"/>
          </w:tcPr>
          <w:p w14:paraId="411630D5" w14:textId="77777777" w:rsidR="005709AF" w:rsidRPr="00C02567" w:rsidRDefault="005709AF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0" w:type="pct"/>
            <w:shd w:val="clear" w:color="auto" w:fill="auto"/>
            <w:vAlign w:val="center"/>
          </w:tcPr>
          <w:p w14:paraId="0B5C21AA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688438C4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4,000,000,000</w:t>
            </w:r>
          </w:p>
        </w:tc>
      </w:tr>
    </w:tbl>
    <w:p w14:paraId="38E840C6" w14:textId="704889E1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 xml:space="preserve">The expected investment capital structure </w:t>
      </w:r>
      <w:r w:rsidR="002B0683" w:rsidRPr="00C02567">
        <w:rPr>
          <w:rFonts w:ascii="Arial" w:hAnsi="Arial" w:cs="Arial"/>
          <w:sz w:val="20"/>
        </w:rPr>
        <w:t xml:space="preserve">is </w:t>
      </w:r>
      <w:r w:rsidRPr="00C02567">
        <w:rPr>
          <w:rFonts w:ascii="Arial" w:hAnsi="Arial" w:cs="Arial"/>
          <w:sz w:val="20"/>
        </w:rPr>
        <w:t>as follows:</w:t>
      </w:r>
    </w:p>
    <w:p w14:paraId="4109B61C" w14:textId="04A1A3BB" w:rsidR="005709AF" w:rsidRPr="00C02567" w:rsidRDefault="002B0683" w:rsidP="00C151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>Own</w:t>
      </w:r>
      <w:r w:rsidR="00447DA1" w:rsidRPr="00C02567">
        <w:rPr>
          <w:rFonts w:ascii="Arial" w:hAnsi="Arial" w:cs="Arial"/>
          <w:sz w:val="20"/>
        </w:rPr>
        <w:t xml:space="preserve"> capital: VND 4,000,000,000, equivalent to 100% of total investment capital.</w:t>
      </w:r>
    </w:p>
    <w:p w14:paraId="2C9C2345" w14:textId="377BAD2C" w:rsidR="005709AF" w:rsidRPr="00C02567" w:rsidRDefault="002B0683" w:rsidP="00C151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>Borrowed</w:t>
      </w:r>
      <w:r w:rsidR="00447DA1" w:rsidRPr="00C02567">
        <w:rPr>
          <w:rFonts w:ascii="Arial" w:hAnsi="Arial" w:cs="Arial"/>
          <w:sz w:val="20"/>
        </w:rPr>
        <w:t xml:space="preserve"> capital: VND 0, equivalent to 0% of total investment capital</w:t>
      </w:r>
    </w:p>
    <w:p w14:paraId="7D01D266" w14:textId="77777777" w:rsidR="005709AF" w:rsidRPr="00C02567" w:rsidRDefault="00447DA1" w:rsidP="00C151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>Work detail:</w:t>
      </w:r>
    </w:p>
    <w:p w14:paraId="49F18612" w14:textId="6ABD1E69" w:rsidR="005709AF" w:rsidRPr="00C02567" w:rsidRDefault="002B0683" w:rsidP="00C151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>The e</w:t>
      </w:r>
      <w:r w:rsidR="00447DA1" w:rsidRPr="00C02567">
        <w:rPr>
          <w:rFonts w:ascii="Arial" w:hAnsi="Arial" w:cs="Arial"/>
          <w:sz w:val="20"/>
        </w:rPr>
        <w:t xml:space="preserve">stimated volume of construction items to repair and renovate the factory </w:t>
      </w:r>
      <w:r w:rsidRPr="00C02567">
        <w:rPr>
          <w:rFonts w:ascii="Arial" w:hAnsi="Arial" w:cs="Arial"/>
          <w:sz w:val="20"/>
        </w:rPr>
        <w:t xml:space="preserve">is </w:t>
      </w:r>
      <w:r w:rsidR="00447DA1" w:rsidRPr="00C02567">
        <w:rPr>
          <w:rFonts w:ascii="Arial" w:hAnsi="Arial" w:cs="Arial"/>
          <w:sz w:val="20"/>
        </w:rPr>
        <w:t>as follows:</w:t>
      </w: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0"/>
        <w:gridCol w:w="3585"/>
        <w:gridCol w:w="2242"/>
        <w:gridCol w:w="718"/>
        <w:gridCol w:w="577"/>
        <w:gridCol w:w="1304"/>
      </w:tblGrid>
      <w:tr w:rsidR="005709AF" w:rsidRPr="00C02567" w14:paraId="0A807D83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51B1337C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1610F8D0" w14:textId="7444A3EB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2425F218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EC554D7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Volume (m2)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35498F1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Unit price (VND)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6F7C3169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Total</w:t>
            </w:r>
          </w:p>
        </w:tc>
      </w:tr>
      <w:tr w:rsidR="005709AF" w:rsidRPr="00C02567" w14:paraId="75C5EF02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7E5BC182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211B9DE7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Repair and replace corrugated iron ceilings in factories and office areas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3B855C31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Viet Nhat SSSC steel sheet 0.4 mm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62EA343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3,500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63A048D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ACD6C71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079C3874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456F1643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1B5EFF7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Repair and replace wall panels surrounding the factory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4BC3B896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Viet Nhat SSSC steel sheet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E8D34E0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2,000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A323BCE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42D4425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461C1859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0F2E7B1B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53580CC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Partitions inside the factory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09AB83F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515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EPS panel 50mm, white corrugated iron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A9B342E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56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F2DCD1C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B228384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44EB8A8D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3EDEED6B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946E89B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Wall cladding inside and outside the factory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05647C5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47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50mm EPS panel, bright color corrugated iron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0C12A8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2,000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F347274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A178F92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5D8E5459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1B2F0F64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76E281F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Paint the entire interior and exterior walls of the office and factory areas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58062153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JOTUN PENGUARD TOPCOAT EPOXY PAINT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E3954ED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2,000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87BF7E3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46E1BFF7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0B8B8AE0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3846D092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0FBC3CA5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659"/>
                <w:tab w:val="left" w:pos="981"/>
                <w:tab w:val="left" w:pos="1458"/>
                <w:tab w:val="left" w:pos="2149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Upgrade the lighting system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1E8FDD4F" w14:textId="2E03AD7F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200</w:t>
            </w:r>
            <w:r w:rsidR="002B0683" w:rsidRPr="00C02567">
              <w:rPr>
                <w:rFonts w:ascii="Arial" w:hAnsi="Arial" w:cs="Arial"/>
                <w:sz w:val="20"/>
              </w:rPr>
              <w:t>W</w:t>
            </w:r>
            <w:r w:rsidRPr="00C02567">
              <w:rPr>
                <w:rFonts w:ascii="Arial" w:hAnsi="Arial" w:cs="Arial"/>
                <w:sz w:val="20"/>
              </w:rPr>
              <w:t xml:space="preserve"> explosion-proof </w:t>
            </w:r>
            <w:r w:rsidRPr="00C02567">
              <w:rPr>
                <w:rFonts w:ascii="Arial" w:hAnsi="Arial" w:cs="Arial"/>
                <w:sz w:val="20"/>
              </w:rPr>
              <w:lastRenderedPageBreak/>
              <w:t>UFO Factory Highbay LED light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29F379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46E1F48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FB2DB14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3E28B440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035B698D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64ED0636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55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Repair and upgrade WC in office and factory areas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4142419" w14:textId="77777777" w:rsidR="005709AF" w:rsidRPr="00C02567" w:rsidRDefault="00447DA1" w:rsidP="002B06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Replace bathroom door in office block</w:t>
            </w:r>
          </w:p>
          <w:p w14:paraId="43B9D528" w14:textId="77777777" w:rsidR="005709AF" w:rsidRPr="00C02567" w:rsidRDefault="00447DA1" w:rsidP="002B06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Re-tile the factory toilet floor, rebuild the water tank</w:t>
            </w:r>
          </w:p>
          <w:p w14:paraId="4B3345F5" w14:textId="77777777" w:rsidR="005709AF" w:rsidRPr="00C02567" w:rsidRDefault="00447DA1" w:rsidP="002B06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"/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Repair the drainage system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90FAD76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97E3919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3A613485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154A026D" w14:textId="77777777" w:rsidTr="00C02567">
        <w:trPr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3A97BE3D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14:paraId="6A69EC78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82"/>
                <w:tab w:val="left" w:pos="255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7CA1AE47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61A7CF34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DC4F001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073848B5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3,000,000,000</w:t>
            </w:r>
          </w:p>
        </w:tc>
      </w:tr>
    </w:tbl>
    <w:p w14:paraId="534BCBB0" w14:textId="535117D3" w:rsidR="005709AF" w:rsidRPr="00C02567" w:rsidRDefault="002B0683" w:rsidP="002B06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>The e</w:t>
      </w:r>
      <w:r w:rsidR="00447DA1" w:rsidRPr="00C02567">
        <w:rPr>
          <w:rFonts w:ascii="Arial" w:hAnsi="Arial" w:cs="Arial"/>
          <w:sz w:val="20"/>
        </w:rPr>
        <w:t>stimated number of machinery and equipment needing upgrading is as follows: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3"/>
        <w:gridCol w:w="3548"/>
        <w:gridCol w:w="1719"/>
        <w:gridCol w:w="765"/>
        <w:gridCol w:w="780"/>
        <w:gridCol w:w="1571"/>
      </w:tblGrid>
      <w:tr w:rsidR="005709AF" w:rsidRPr="00C02567" w14:paraId="5CBDB7A0" w14:textId="77777777" w:rsidTr="002B0683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1DD212B4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1F244F38" w14:textId="1E2517BD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EFFEA4A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057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D9B8FD7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Quantity (pcs)</w:t>
            </w:r>
          </w:p>
          <w:p w14:paraId="23E9D6DE" w14:textId="77777777" w:rsidR="005709AF" w:rsidRPr="00C02567" w:rsidRDefault="005709AF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5CE4B91F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Unit price (VND)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D9EB620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Total</w:t>
            </w:r>
          </w:p>
        </w:tc>
      </w:tr>
      <w:tr w:rsidR="005709AF" w:rsidRPr="00C02567" w14:paraId="0249EC90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753A5255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59758595" w14:textId="1D7285C1" w:rsidR="005709AF" w:rsidRPr="00C02567" w:rsidRDefault="002B0683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278"/>
                <w:tab w:val="left" w:pos="2955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eastAsia="Arial" w:hAnsi="Arial" w:cs="Arial"/>
                <w:sz w:val="20"/>
                <w:szCs w:val="20"/>
              </w:rPr>
              <w:t xml:space="preserve">Electronic </w:t>
            </w:r>
            <w:r w:rsidR="00C02567" w:rsidRPr="00C02567">
              <w:rPr>
                <w:rFonts w:ascii="Arial" w:hAnsi="Arial" w:cs="Arial"/>
                <w:sz w:val="20"/>
              </w:rPr>
              <w:t>single</w:t>
            </w:r>
            <w:r w:rsidRPr="00C02567">
              <w:rPr>
                <w:rFonts w:ascii="Arial" w:eastAsia="Arial" w:hAnsi="Arial" w:cs="Arial"/>
                <w:sz w:val="20"/>
                <w:szCs w:val="20"/>
              </w:rPr>
              <w:t>-needle machine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C9284F7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A4B-A-C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C03B76B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5A06CD8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67C86BD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3110AAA8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6904F301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DEB4B06" w14:textId="34C10BFF" w:rsidR="005709AF" w:rsidRPr="00C02567" w:rsidRDefault="002B0683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816"/>
                <w:tab w:val="left" w:pos="2511"/>
                <w:tab w:val="left" w:pos="2991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E</w:t>
            </w:r>
            <w:r w:rsidR="00447DA1" w:rsidRPr="00C02567">
              <w:rPr>
                <w:rFonts w:ascii="Arial" w:hAnsi="Arial" w:cs="Arial"/>
                <w:sz w:val="20"/>
              </w:rPr>
              <w:t xml:space="preserve">lectronic 4-thread overlock machine with thread cutting function without lifting the presser foot. 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6AA17F8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C2-4-M03/333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666696D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1E73665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3E1E7238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4FB9C4B9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676FC07A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4537F32B" w14:textId="2471A9BB" w:rsidR="005709AF" w:rsidRPr="00C02567" w:rsidRDefault="002B0683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984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E</w:t>
            </w:r>
            <w:r w:rsidR="00447DA1" w:rsidRPr="00C02567">
              <w:rPr>
                <w:rFonts w:ascii="Arial" w:hAnsi="Arial" w:cs="Arial"/>
                <w:sz w:val="20"/>
              </w:rPr>
              <w:t>lectronic 6-thread overlock machine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E789336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C4-6-03/333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2B4493F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96ACC6E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313169EF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01F16DBB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24BCD150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AB6B74F" w14:textId="62A568A4" w:rsidR="005709AF" w:rsidRPr="00C02567" w:rsidRDefault="00C02567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2973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E</w:t>
            </w:r>
            <w:r w:rsidR="00447DA1" w:rsidRPr="00C02567">
              <w:rPr>
                <w:rFonts w:ascii="Arial" w:hAnsi="Arial" w:cs="Arial"/>
                <w:sz w:val="20"/>
              </w:rPr>
              <w:t>lectronic single-needle cutting machine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EA35C51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JK-5559F-W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C196AC3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621A4CA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73BBAD3A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26735F9A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260B4287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1903F33D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2-needle machine with fixed large electronic drive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D92ECF7" w14:textId="4D81F862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JK-58720J-403E/405E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89977A0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28F224C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18238A0A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1D82C7D5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332752BD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069DF48E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3005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4x6 format programming machine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4BBA188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JK-T1906GSZ-DII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D30D637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596E6E7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79250D79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3ECB328B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3D38E702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4B030D25" w14:textId="0E229515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Kansai 25-needle cylinder bed machine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F1C20FA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JK-8009 CDI-</w:t>
            </w:r>
          </w:p>
          <w:p w14:paraId="0529FD2D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25032P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6E25F78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5755A4F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87F82D7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07DD2876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145EE06E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5E29296" w14:textId="5FBDF30F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Automatic Cotton Sealing Machine</w:t>
            </w:r>
            <w:r w:rsidR="00C02567" w:rsidRPr="00C02567">
              <w:rPr>
                <w:rFonts w:ascii="Arial" w:hAnsi="Arial" w:cs="Arial"/>
                <w:sz w:val="20"/>
              </w:rPr>
              <w:t>,</w:t>
            </w:r>
            <w:r w:rsidRPr="00C02567">
              <w:rPr>
                <w:rFonts w:ascii="Arial" w:hAnsi="Arial" w:cs="Arial"/>
                <w:sz w:val="20"/>
              </w:rPr>
              <w:t xml:space="preserve"> size 1400 X 950, single-axis.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C6862C2" w14:textId="5283C311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MS-</w:t>
            </w:r>
            <w:r w:rsidR="00C02567" w:rsidRPr="00C02567">
              <w:rPr>
                <w:rFonts w:ascii="Arial" w:hAnsi="Arial" w:cs="Arial"/>
                <w:sz w:val="20"/>
              </w:rPr>
              <w:t>1</w:t>
            </w:r>
            <w:r w:rsidRPr="00C02567">
              <w:rPr>
                <w:rFonts w:ascii="Arial" w:hAnsi="Arial" w:cs="Arial"/>
                <w:sz w:val="20"/>
              </w:rPr>
              <w:t>00A+-95STYX-F13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BA19E84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24B197A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61D29E5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074194E3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4A65EA6B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42DEE383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8 inch vertical cutting machine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BCAEDDB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JK-T3 (8) 850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313DF86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C72DFFD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7E07AB3F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09AF" w:rsidRPr="00C02567" w14:paraId="37D6128B" w14:textId="77777777" w:rsidTr="00447DA1">
        <w:trPr>
          <w:jc w:val="center"/>
        </w:trPr>
        <w:tc>
          <w:tcPr>
            <w:tcW w:w="374" w:type="pct"/>
            <w:shd w:val="clear" w:color="auto" w:fill="auto"/>
            <w:vAlign w:val="center"/>
          </w:tcPr>
          <w:p w14:paraId="79F98BD2" w14:textId="77777777" w:rsidR="005709AF" w:rsidRPr="00C02567" w:rsidRDefault="005709AF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9" w:type="pct"/>
            <w:shd w:val="clear" w:color="auto" w:fill="auto"/>
            <w:vAlign w:val="center"/>
          </w:tcPr>
          <w:p w14:paraId="757602CD" w14:textId="77777777" w:rsidR="005709AF" w:rsidRPr="00C02567" w:rsidRDefault="00447DA1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B567B11" w14:textId="77777777" w:rsidR="005709AF" w:rsidRPr="00C02567" w:rsidRDefault="005709AF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FBC1A1C" w14:textId="77777777" w:rsidR="005709AF" w:rsidRPr="00C02567" w:rsidRDefault="005709AF" w:rsidP="002B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7E428354" w14:textId="77777777" w:rsidR="005709AF" w:rsidRPr="00C02567" w:rsidRDefault="005709AF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8B52194" w14:textId="77777777" w:rsidR="005709AF" w:rsidRPr="00C02567" w:rsidRDefault="00447DA1" w:rsidP="002B0683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2567">
              <w:rPr>
                <w:rFonts w:ascii="Arial" w:hAnsi="Arial" w:cs="Arial"/>
                <w:sz w:val="20"/>
              </w:rPr>
              <w:t>1,000,000,000</w:t>
            </w:r>
          </w:p>
        </w:tc>
      </w:tr>
    </w:tbl>
    <w:p w14:paraId="2A9227ED" w14:textId="77777777" w:rsidR="005709AF" w:rsidRPr="00C02567" w:rsidRDefault="00447DA1" w:rsidP="00C151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 w:rsidRPr="00C02567">
        <w:rPr>
          <w:rFonts w:ascii="Arial" w:hAnsi="Arial" w:cs="Arial"/>
          <w:sz w:val="20"/>
        </w:rPr>
        <w:t>Implementation time:</w:t>
      </w:r>
    </w:p>
    <w:p w14:paraId="4412893D" w14:textId="1C78E907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 xml:space="preserve">Expected in 2024 after the </w:t>
      </w:r>
      <w:r w:rsidR="00C02567" w:rsidRPr="00C02567">
        <w:rPr>
          <w:rFonts w:ascii="Arial" w:hAnsi="Arial" w:cs="Arial"/>
          <w:sz w:val="20"/>
        </w:rPr>
        <w:t>C</w:t>
      </w:r>
      <w:r w:rsidRPr="00C02567">
        <w:rPr>
          <w:rFonts w:ascii="Arial" w:hAnsi="Arial" w:cs="Arial"/>
          <w:sz w:val="20"/>
        </w:rPr>
        <w:t>ompany arrang</w:t>
      </w:r>
      <w:r w:rsidR="00C02567" w:rsidRPr="00C02567">
        <w:rPr>
          <w:rFonts w:ascii="Arial" w:hAnsi="Arial" w:cs="Arial"/>
          <w:sz w:val="20"/>
        </w:rPr>
        <w:t>es the</w:t>
      </w:r>
      <w:r w:rsidRPr="00C02567">
        <w:rPr>
          <w:rFonts w:ascii="Arial" w:hAnsi="Arial" w:cs="Arial"/>
          <w:sz w:val="20"/>
        </w:rPr>
        <w:t xml:space="preserve"> capital to </w:t>
      </w:r>
      <w:r w:rsidR="00C02567" w:rsidRPr="00C02567">
        <w:rPr>
          <w:rFonts w:ascii="Arial" w:hAnsi="Arial" w:cs="Arial"/>
          <w:sz w:val="20"/>
        </w:rPr>
        <w:t>implement</w:t>
      </w:r>
      <w:r w:rsidRPr="00C02567">
        <w:rPr>
          <w:rFonts w:ascii="Arial" w:hAnsi="Arial" w:cs="Arial"/>
          <w:sz w:val="20"/>
        </w:rPr>
        <w:t xml:space="preserve"> from the </w:t>
      </w:r>
      <w:r w:rsidR="00C02567" w:rsidRPr="00C02567">
        <w:rPr>
          <w:rFonts w:ascii="Arial" w:hAnsi="Arial" w:cs="Arial"/>
          <w:sz w:val="20"/>
        </w:rPr>
        <w:t xml:space="preserve">share </w:t>
      </w:r>
      <w:r w:rsidRPr="00C02567">
        <w:rPr>
          <w:rFonts w:ascii="Arial" w:hAnsi="Arial" w:cs="Arial"/>
          <w:sz w:val="20"/>
        </w:rPr>
        <w:t>issuance</w:t>
      </w:r>
      <w:r w:rsidR="00C02567" w:rsidRPr="00C02567">
        <w:rPr>
          <w:rFonts w:ascii="Arial" w:hAnsi="Arial" w:cs="Arial"/>
          <w:sz w:val="20"/>
        </w:rPr>
        <w:t xml:space="preserve"> </w:t>
      </w:r>
      <w:r w:rsidRPr="00C02567">
        <w:rPr>
          <w:rFonts w:ascii="Arial" w:hAnsi="Arial" w:cs="Arial"/>
          <w:sz w:val="20"/>
        </w:rPr>
        <w:t>to increase charter capital.</w:t>
      </w:r>
    </w:p>
    <w:p w14:paraId="1627B058" w14:textId="3BF7E5D4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lastRenderedPageBreak/>
        <w:t xml:space="preserve">‎‎Article 2. Assign the Board of </w:t>
      </w:r>
      <w:r w:rsidR="00C02567" w:rsidRPr="00C02567">
        <w:rPr>
          <w:rFonts w:ascii="Arial" w:hAnsi="Arial" w:cs="Arial"/>
          <w:sz w:val="20"/>
        </w:rPr>
        <w:t>Management</w:t>
      </w:r>
      <w:r w:rsidRPr="00C02567">
        <w:rPr>
          <w:rFonts w:ascii="Arial" w:hAnsi="Arial" w:cs="Arial"/>
          <w:sz w:val="20"/>
        </w:rPr>
        <w:t xml:space="preserve"> to decide on the selection of Partners, Suppliers, and other relevant units and sign contracts with the above units to implement the work.</w:t>
      </w:r>
    </w:p>
    <w:p w14:paraId="0BA4E8E1" w14:textId="635BB9D2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 xml:space="preserve">‎‎Article 3. This Resolution takes effect from the date of its signing. Members of the Board of Directors, </w:t>
      </w:r>
      <w:r w:rsidR="00C02567" w:rsidRPr="00C02567">
        <w:rPr>
          <w:rFonts w:ascii="Arial" w:hAnsi="Arial" w:cs="Arial"/>
          <w:sz w:val="20"/>
        </w:rPr>
        <w:t xml:space="preserve">the </w:t>
      </w:r>
      <w:r w:rsidRPr="00C02567">
        <w:rPr>
          <w:rFonts w:ascii="Arial" w:hAnsi="Arial" w:cs="Arial"/>
          <w:sz w:val="20"/>
        </w:rPr>
        <w:t xml:space="preserve">Board of Management and relevant departments are responsible for implementing this </w:t>
      </w:r>
      <w:r w:rsidR="00C02567" w:rsidRPr="00C02567">
        <w:rPr>
          <w:rFonts w:ascii="Arial" w:hAnsi="Arial" w:cs="Arial"/>
          <w:sz w:val="20"/>
        </w:rPr>
        <w:t>R</w:t>
      </w:r>
      <w:r w:rsidRPr="00C02567">
        <w:rPr>
          <w:rFonts w:ascii="Arial" w:hAnsi="Arial" w:cs="Arial"/>
          <w:sz w:val="20"/>
        </w:rPr>
        <w:t>esolution.</w:t>
      </w:r>
    </w:p>
    <w:p w14:paraId="5086A919" w14:textId="14F20434" w:rsidR="005709AF" w:rsidRPr="00C02567" w:rsidRDefault="00447DA1" w:rsidP="00C1513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02567">
        <w:rPr>
          <w:rFonts w:ascii="Arial" w:hAnsi="Arial" w:cs="Arial"/>
          <w:sz w:val="20"/>
        </w:rPr>
        <w:t xml:space="preserve">This </w:t>
      </w:r>
      <w:r w:rsidR="00C02567" w:rsidRPr="00C02567">
        <w:rPr>
          <w:rFonts w:ascii="Arial" w:hAnsi="Arial" w:cs="Arial"/>
          <w:sz w:val="20"/>
        </w:rPr>
        <w:t>R</w:t>
      </w:r>
      <w:r w:rsidRPr="00C02567">
        <w:rPr>
          <w:rFonts w:ascii="Arial" w:hAnsi="Arial" w:cs="Arial"/>
          <w:sz w:val="20"/>
        </w:rPr>
        <w:t xml:space="preserve">esolution consists of 3 pages, and </w:t>
      </w:r>
      <w:r w:rsidR="00C02567" w:rsidRPr="00C02567">
        <w:rPr>
          <w:rFonts w:ascii="Arial" w:hAnsi="Arial" w:cs="Arial"/>
          <w:sz w:val="20"/>
        </w:rPr>
        <w:t xml:space="preserve">is </w:t>
      </w:r>
      <w:r w:rsidRPr="00C02567">
        <w:rPr>
          <w:rFonts w:ascii="Arial" w:hAnsi="Arial" w:cs="Arial"/>
          <w:sz w:val="20"/>
        </w:rPr>
        <w:t>approved by the participants at 10:00 a.m. on the same day.</w:t>
      </w:r>
      <w:bookmarkEnd w:id="0"/>
    </w:p>
    <w:sectPr w:rsidR="005709AF" w:rsidRPr="00C02567" w:rsidSect="00123669">
      <w:pgSz w:w="11906" w:h="16838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0FC"/>
    <w:multiLevelType w:val="multilevel"/>
    <w:tmpl w:val="4950E5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343386"/>
    <w:multiLevelType w:val="multilevel"/>
    <w:tmpl w:val="5EF8C3E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3A23A6"/>
    <w:multiLevelType w:val="multilevel"/>
    <w:tmpl w:val="0C80C4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3E0F3F"/>
    <w:multiLevelType w:val="multilevel"/>
    <w:tmpl w:val="ABEE611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AF"/>
    <w:rsid w:val="00123669"/>
    <w:rsid w:val="002B0683"/>
    <w:rsid w:val="00447DA1"/>
    <w:rsid w:val="005709AF"/>
    <w:rsid w:val="00C02567"/>
    <w:rsid w:val="00C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E0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 w:line="28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200" w:line="269" w:lineRule="auto"/>
      <w:ind w:left="1680" w:right="350" w:hanging="8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9" w:lineRule="auto"/>
      <w:jc w:val="center"/>
      <w:outlineLvl w:val="0"/>
    </w:pPr>
    <w:rPr>
      <w:rFonts w:ascii="Arial" w:eastAsia="Arial" w:hAnsi="Arial" w:cs="Arial"/>
      <w:smallCaps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180" w:lineRule="auto"/>
      <w:ind w:left="4300"/>
    </w:pPr>
    <w:rPr>
      <w:rFonts w:ascii="Arial" w:eastAsia="Arial" w:hAnsi="Arial" w:cs="Arial"/>
      <w:smallCaps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215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 w:line="28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200" w:line="269" w:lineRule="auto"/>
      <w:ind w:left="1680" w:right="350" w:hanging="8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69" w:lineRule="auto"/>
      <w:jc w:val="center"/>
      <w:outlineLvl w:val="0"/>
    </w:pPr>
    <w:rPr>
      <w:rFonts w:ascii="Arial" w:eastAsia="Arial" w:hAnsi="Arial" w:cs="Arial"/>
      <w:smallCaps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180" w:lineRule="auto"/>
      <w:ind w:left="4300"/>
    </w:pPr>
    <w:rPr>
      <w:rFonts w:ascii="Arial" w:eastAsia="Arial" w:hAnsi="Arial" w:cs="Arial"/>
      <w:smallCaps/>
    </w:rPr>
  </w:style>
  <w:style w:type="paragraph" w:customStyle="1" w:styleId="Bodytext30">
    <w:name w:val="Body text (3)"/>
    <w:basedOn w:val="Normal"/>
    <w:link w:val="Bodytext3"/>
    <w:pPr>
      <w:spacing w:line="209" w:lineRule="auto"/>
      <w:ind w:left="215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wVspFgpP3KPWp7uIxdlo65Crg==">CgMxLjA4AHIhMTdIODVqQmFPQnc3eUVZcmNyWE9Wam80NkFPVGdUS3pN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Anh</cp:lastModifiedBy>
  <cp:revision>5</cp:revision>
  <dcterms:created xsi:type="dcterms:W3CDTF">2024-04-09T03:50:00Z</dcterms:created>
  <dcterms:modified xsi:type="dcterms:W3CDTF">2024-04-10T03:55:00Z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8b657e03de6cc3c734b578e9d6cdf235c6c87f60edd6e6aefb2512170cf72875</vt:lpwstr>
  </property>
</Properties>
</file>