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B4578" w14:textId="1F337C77" w:rsidR="00F67386" w:rsidRPr="00692C25" w:rsidRDefault="000B0EF9" w:rsidP="002B42B9">
      <w:pPr>
        <w:pBdr>
          <w:top w:val="nil"/>
          <w:left w:val="nil"/>
          <w:bottom w:val="nil"/>
          <w:right w:val="nil"/>
          <w:between w:val="nil"/>
        </w:pBdr>
        <w:tabs>
          <w:tab w:val="left" w:pos="6241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92C25">
        <w:rPr>
          <w:rFonts w:ascii="Arial" w:hAnsi="Arial" w:cs="Arial"/>
          <w:b/>
          <w:color w:val="010000"/>
          <w:sz w:val="20"/>
        </w:rPr>
        <w:t>TTZ:</w:t>
      </w:r>
      <w:r w:rsidR="0022469D">
        <w:rPr>
          <w:rFonts w:ascii="Arial" w:hAnsi="Arial" w:cs="Arial"/>
          <w:b/>
          <w:color w:val="010000"/>
          <w:sz w:val="20"/>
        </w:rPr>
        <w:t xml:space="preserve"> Explanation on the</w:t>
      </w:r>
      <w:r w:rsidRPr="00692C25">
        <w:rPr>
          <w:rFonts w:ascii="Arial" w:hAnsi="Arial" w:cs="Arial"/>
          <w:b/>
          <w:color w:val="010000"/>
          <w:sz w:val="20"/>
        </w:rPr>
        <w:t xml:space="preserve"> Semi-annual Financial Statements 2023 </w:t>
      </w:r>
    </w:p>
    <w:p w14:paraId="3E74CC6F" w14:textId="70645DB2" w:rsidR="00F67386" w:rsidRPr="00692C25" w:rsidRDefault="000B0EF9" w:rsidP="002B42B9">
      <w:pPr>
        <w:pBdr>
          <w:top w:val="nil"/>
          <w:left w:val="nil"/>
          <w:bottom w:val="nil"/>
          <w:right w:val="nil"/>
          <w:between w:val="nil"/>
        </w:pBdr>
        <w:tabs>
          <w:tab w:val="left" w:pos="107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92C25">
        <w:rPr>
          <w:rFonts w:ascii="Arial" w:hAnsi="Arial" w:cs="Arial"/>
          <w:color w:val="010000"/>
          <w:sz w:val="20"/>
        </w:rPr>
        <w:t xml:space="preserve">On April </w:t>
      </w:r>
      <w:r w:rsidR="00944D6C">
        <w:rPr>
          <w:rFonts w:ascii="Arial" w:hAnsi="Arial" w:cs="Arial"/>
          <w:color w:val="010000"/>
          <w:sz w:val="20"/>
        </w:rPr>
        <w:t>0</w:t>
      </w:r>
      <w:r w:rsidRPr="00692C25">
        <w:rPr>
          <w:rFonts w:ascii="Arial" w:hAnsi="Arial" w:cs="Arial"/>
          <w:color w:val="010000"/>
          <w:sz w:val="20"/>
        </w:rPr>
        <w:t>4, 2024, Tien Trung Investment Construction and Technology Joint Stock Company announced Official Dispatch No. 15/2024/CBTT-TTZ as follows: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24"/>
        <w:gridCol w:w="1907"/>
        <w:gridCol w:w="1596"/>
        <w:gridCol w:w="1786"/>
        <w:gridCol w:w="1674"/>
        <w:gridCol w:w="1560"/>
      </w:tblGrid>
      <w:tr w:rsidR="00F67386" w:rsidRPr="00692C25" w14:paraId="6C1B97E8" w14:textId="77777777" w:rsidTr="000B0EF9">
        <w:tc>
          <w:tcPr>
            <w:tcW w:w="2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1CE4F7" w14:textId="77777777" w:rsidR="00F67386" w:rsidRPr="00692C25" w:rsidRDefault="000B0EF9" w:rsidP="000B0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92C25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0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88BD69" w14:textId="77777777" w:rsidR="00F67386" w:rsidRPr="00692C25" w:rsidRDefault="000B0EF9" w:rsidP="000B0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92C25">
              <w:rPr>
                <w:rFonts w:ascii="Arial" w:hAnsi="Arial" w:cs="Arial"/>
                <w:color w:val="010000"/>
                <w:sz w:val="20"/>
              </w:rPr>
              <w:t>Contents</w:t>
            </w:r>
          </w:p>
        </w:tc>
        <w:tc>
          <w:tcPr>
            <w:tcW w:w="8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D72B48" w14:textId="77777777" w:rsidR="00F67386" w:rsidRPr="00692C25" w:rsidRDefault="000B0EF9" w:rsidP="000B0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92C25">
              <w:rPr>
                <w:rFonts w:ascii="Arial" w:hAnsi="Arial" w:cs="Arial"/>
                <w:color w:val="010000"/>
                <w:sz w:val="20"/>
              </w:rPr>
              <w:t>This period (2023)</w:t>
            </w:r>
          </w:p>
        </w:tc>
        <w:tc>
          <w:tcPr>
            <w:tcW w:w="9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41D3C" w14:textId="77777777" w:rsidR="00F67386" w:rsidRPr="00692C25" w:rsidRDefault="000B0EF9" w:rsidP="000B0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92C25">
              <w:rPr>
                <w:rFonts w:ascii="Arial" w:hAnsi="Arial" w:cs="Arial"/>
                <w:color w:val="010000"/>
                <w:sz w:val="20"/>
              </w:rPr>
              <w:t>Previous period (2022)</w:t>
            </w:r>
          </w:p>
        </w:tc>
        <w:tc>
          <w:tcPr>
            <w:tcW w:w="9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02437E" w14:textId="77777777" w:rsidR="00F67386" w:rsidRPr="00692C25" w:rsidRDefault="000B0EF9" w:rsidP="000B0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92C25">
              <w:rPr>
                <w:rFonts w:ascii="Arial" w:hAnsi="Arial" w:cs="Arial"/>
                <w:color w:val="010000"/>
                <w:sz w:val="20"/>
              </w:rPr>
              <w:t>% change compared to the same period last year</w:t>
            </w:r>
          </w:p>
        </w:tc>
        <w:tc>
          <w:tcPr>
            <w:tcW w:w="8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E3F132" w14:textId="77777777" w:rsidR="00F67386" w:rsidRPr="00692C25" w:rsidRDefault="000B0EF9" w:rsidP="000B0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2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92C25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  <w:p w14:paraId="5FA8DC62" w14:textId="77777777" w:rsidR="00F67386" w:rsidRPr="00692C25" w:rsidRDefault="000B0EF9" w:rsidP="000B0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92C25">
              <w:rPr>
                <w:rFonts w:ascii="Arial" w:hAnsi="Arial" w:cs="Arial"/>
                <w:color w:val="010000"/>
                <w:sz w:val="20"/>
              </w:rPr>
              <w:t>% change compared to before audit</w:t>
            </w:r>
          </w:p>
        </w:tc>
      </w:tr>
      <w:tr w:rsidR="00F67386" w:rsidRPr="00692C25" w14:paraId="6C197E93" w14:textId="77777777" w:rsidTr="000B0EF9">
        <w:tc>
          <w:tcPr>
            <w:tcW w:w="2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9F863B" w14:textId="77777777" w:rsidR="00F67386" w:rsidRPr="00692C25" w:rsidRDefault="000B0EF9" w:rsidP="000B0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92C25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0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ED7573" w14:textId="4B46A08D" w:rsidR="00F67386" w:rsidRPr="00692C25" w:rsidRDefault="000B0EF9" w:rsidP="000B0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92C25">
              <w:rPr>
                <w:rFonts w:ascii="Arial" w:hAnsi="Arial" w:cs="Arial"/>
                <w:color w:val="010000"/>
                <w:sz w:val="20"/>
              </w:rPr>
              <w:t xml:space="preserve">Profit after tax on the Semi-annual Reviewed </w:t>
            </w:r>
            <w:r w:rsidR="00461171" w:rsidRPr="00692C25">
              <w:rPr>
                <w:rFonts w:ascii="Arial" w:hAnsi="Arial" w:cs="Arial"/>
                <w:color w:val="010000"/>
                <w:sz w:val="20"/>
              </w:rPr>
              <w:t>Separate Financial Statements</w:t>
            </w:r>
            <w:r w:rsidRPr="00692C25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  <w:tc>
          <w:tcPr>
            <w:tcW w:w="8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BFABE5" w14:textId="77777777" w:rsidR="00F67386" w:rsidRPr="00692C25" w:rsidRDefault="000B0EF9" w:rsidP="00944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92C25">
              <w:rPr>
                <w:rFonts w:ascii="Arial" w:hAnsi="Arial" w:cs="Arial"/>
                <w:color w:val="010000"/>
                <w:sz w:val="20"/>
              </w:rPr>
              <w:t>(269,585,958)</w:t>
            </w:r>
          </w:p>
        </w:tc>
        <w:tc>
          <w:tcPr>
            <w:tcW w:w="9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32586B" w14:textId="77777777" w:rsidR="00F67386" w:rsidRPr="00692C25" w:rsidRDefault="000B0EF9" w:rsidP="00944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92C25">
              <w:rPr>
                <w:rFonts w:ascii="Arial" w:hAnsi="Arial" w:cs="Arial"/>
                <w:color w:val="010000"/>
                <w:sz w:val="20"/>
              </w:rPr>
              <w:t>(4,566,652,258)</w:t>
            </w:r>
          </w:p>
        </w:tc>
        <w:tc>
          <w:tcPr>
            <w:tcW w:w="9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76CDD3" w14:textId="77777777" w:rsidR="00F67386" w:rsidRPr="00692C25" w:rsidRDefault="000B0EF9" w:rsidP="00944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92C25">
              <w:rPr>
                <w:rFonts w:ascii="Arial" w:hAnsi="Arial" w:cs="Arial"/>
                <w:color w:val="010000"/>
                <w:sz w:val="20"/>
              </w:rPr>
              <w:t>94.10%</w:t>
            </w:r>
          </w:p>
        </w:tc>
        <w:tc>
          <w:tcPr>
            <w:tcW w:w="8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C2E009" w14:textId="77777777" w:rsidR="00F67386" w:rsidRPr="00692C25" w:rsidRDefault="000B0EF9" w:rsidP="00944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92C25">
              <w:rPr>
                <w:rFonts w:ascii="Arial" w:hAnsi="Arial" w:cs="Arial"/>
                <w:color w:val="010000"/>
                <w:sz w:val="20"/>
              </w:rPr>
              <w:t>22.23%</w:t>
            </w:r>
          </w:p>
        </w:tc>
      </w:tr>
      <w:tr w:rsidR="00F67386" w:rsidRPr="00692C25" w14:paraId="3DEE37AA" w14:textId="77777777" w:rsidTr="000B0EF9">
        <w:tc>
          <w:tcPr>
            <w:tcW w:w="2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19CE48" w14:textId="77777777" w:rsidR="00F67386" w:rsidRPr="00692C25" w:rsidRDefault="000B0EF9" w:rsidP="000B0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92C25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0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0B63D1" w14:textId="1B31C4C2" w:rsidR="00F67386" w:rsidRPr="00692C25" w:rsidRDefault="000B0EF9" w:rsidP="000B0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92C25">
              <w:rPr>
                <w:rFonts w:ascii="Arial" w:hAnsi="Arial" w:cs="Arial"/>
                <w:color w:val="010000"/>
                <w:sz w:val="20"/>
              </w:rPr>
              <w:t>Profit after tax on the Semi-annual Reviewed Conso</w:t>
            </w:r>
            <w:r w:rsidR="00461171" w:rsidRPr="00692C25">
              <w:rPr>
                <w:rFonts w:ascii="Arial" w:hAnsi="Arial" w:cs="Arial"/>
                <w:color w:val="010000"/>
                <w:sz w:val="20"/>
              </w:rPr>
              <w:t xml:space="preserve">lidated Financial Statements </w:t>
            </w:r>
            <w:r w:rsidRPr="00692C25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8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012396" w14:textId="77777777" w:rsidR="00F67386" w:rsidRPr="00692C25" w:rsidRDefault="000B0EF9" w:rsidP="00944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92C25">
              <w:rPr>
                <w:rFonts w:ascii="Arial" w:hAnsi="Arial" w:cs="Arial"/>
                <w:color w:val="010000"/>
                <w:sz w:val="20"/>
              </w:rPr>
              <w:t>(239,388,025)</w:t>
            </w:r>
          </w:p>
        </w:tc>
        <w:tc>
          <w:tcPr>
            <w:tcW w:w="9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BF2974" w14:textId="77777777" w:rsidR="00F67386" w:rsidRPr="00692C25" w:rsidRDefault="000B0EF9" w:rsidP="00944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92C25">
              <w:rPr>
                <w:rFonts w:ascii="Arial" w:hAnsi="Arial" w:cs="Arial"/>
                <w:color w:val="010000"/>
                <w:sz w:val="20"/>
              </w:rPr>
              <w:t>(4,534,342,870)</w:t>
            </w:r>
          </w:p>
        </w:tc>
        <w:tc>
          <w:tcPr>
            <w:tcW w:w="9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A619A3" w14:textId="77777777" w:rsidR="00F67386" w:rsidRPr="00692C25" w:rsidRDefault="000B0EF9" w:rsidP="00944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92C25">
              <w:rPr>
                <w:rFonts w:ascii="Arial" w:hAnsi="Arial" w:cs="Arial"/>
                <w:color w:val="010000"/>
                <w:sz w:val="20"/>
              </w:rPr>
              <w:t>94.72%</w:t>
            </w:r>
          </w:p>
        </w:tc>
        <w:tc>
          <w:tcPr>
            <w:tcW w:w="8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325B89" w14:textId="77777777" w:rsidR="00F67386" w:rsidRPr="00692C25" w:rsidRDefault="000B0EF9" w:rsidP="00944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92C25">
              <w:rPr>
                <w:rFonts w:ascii="Arial" w:hAnsi="Arial" w:cs="Arial"/>
                <w:color w:val="010000"/>
                <w:sz w:val="20"/>
              </w:rPr>
              <w:t>8.54%</w:t>
            </w:r>
          </w:p>
        </w:tc>
      </w:tr>
    </w:tbl>
    <w:p w14:paraId="76DA44A1" w14:textId="77777777" w:rsidR="00F67386" w:rsidRPr="00692C25" w:rsidRDefault="000B0EF9" w:rsidP="002B42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92C25">
        <w:rPr>
          <w:rFonts w:ascii="Arial" w:hAnsi="Arial" w:cs="Arial"/>
          <w:color w:val="010000"/>
          <w:sz w:val="20"/>
        </w:rPr>
        <w:t>In the Separate Financial Statements:</w:t>
      </w:r>
    </w:p>
    <w:p w14:paraId="2E87DD75" w14:textId="7E0777B4" w:rsidR="00F67386" w:rsidRPr="00692C25" w:rsidRDefault="000B0EF9" w:rsidP="002B42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82"/>
          <w:tab w:val="left" w:pos="57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92C25">
        <w:rPr>
          <w:rFonts w:ascii="Arial" w:hAnsi="Arial" w:cs="Arial"/>
          <w:color w:val="010000"/>
          <w:sz w:val="20"/>
        </w:rPr>
        <w:t>The profit after tax in the business operation results report for the reporting period increased by 94.10% compared to</w:t>
      </w:r>
      <w:r w:rsidR="00461171" w:rsidRPr="00692C25">
        <w:rPr>
          <w:rFonts w:ascii="Arial" w:hAnsi="Arial" w:cs="Arial"/>
          <w:color w:val="010000"/>
          <w:sz w:val="20"/>
        </w:rPr>
        <w:t xml:space="preserve"> that of</w:t>
      </w:r>
      <w:r w:rsidRPr="00692C25">
        <w:rPr>
          <w:rFonts w:ascii="Arial" w:hAnsi="Arial" w:cs="Arial"/>
          <w:color w:val="010000"/>
          <w:sz w:val="20"/>
        </w:rPr>
        <w:t xml:space="preserve"> the same period of the previous year, mainly due to the fact that in the first 6 months of 2022, the </w:t>
      </w:r>
      <w:r w:rsidR="00461171" w:rsidRPr="00692C25">
        <w:rPr>
          <w:rFonts w:ascii="Arial" w:hAnsi="Arial" w:cs="Arial"/>
          <w:color w:val="010000"/>
          <w:sz w:val="20"/>
        </w:rPr>
        <w:t xml:space="preserve">Holding Company </w:t>
      </w:r>
      <w:r w:rsidRPr="00692C25">
        <w:rPr>
          <w:rFonts w:ascii="Arial" w:hAnsi="Arial" w:cs="Arial"/>
          <w:color w:val="010000"/>
          <w:sz w:val="20"/>
        </w:rPr>
        <w:t>made provisions for losses from the business operations of its subsidiaries.</w:t>
      </w:r>
    </w:p>
    <w:p w14:paraId="2D47ACD8" w14:textId="5F941AA7" w:rsidR="00F67386" w:rsidRPr="00692C25" w:rsidRDefault="000B0EF9" w:rsidP="002B42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92C25">
        <w:rPr>
          <w:rFonts w:ascii="Arial" w:hAnsi="Arial" w:cs="Arial"/>
          <w:color w:val="010000"/>
          <w:sz w:val="20"/>
        </w:rPr>
        <w:t>The profit after tax in the reporting period incurred a loss of</w:t>
      </w:r>
      <w:r w:rsidR="00461171" w:rsidRPr="00692C25">
        <w:rPr>
          <w:rFonts w:ascii="Arial" w:hAnsi="Arial" w:cs="Arial"/>
          <w:color w:val="010000"/>
          <w:sz w:val="20"/>
        </w:rPr>
        <w:t xml:space="preserve"> VND</w:t>
      </w:r>
      <w:r w:rsidRPr="00692C25">
        <w:rPr>
          <w:rFonts w:ascii="Arial" w:hAnsi="Arial" w:cs="Arial"/>
          <w:color w:val="010000"/>
          <w:sz w:val="20"/>
        </w:rPr>
        <w:t xml:space="preserve"> (269,585,958) due to the </w:t>
      </w:r>
      <w:r w:rsidR="00461171" w:rsidRPr="00692C25">
        <w:rPr>
          <w:rFonts w:ascii="Arial" w:hAnsi="Arial" w:cs="Arial"/>
          <w:color w:val="010000"/>
          <w:sz w:val="20"/>
        </w:rPr>
        <w:t xml:space="preserve">Holding Company </w:t>
      </w:r>
      <w:r w:rsidRPr="00692C25">
        <w:rPr>
          <w:rFonts w:ascii="Arial" w:hAnsi="Arial" w:cs="Arial"/>
          <w:color w:val="010000"/>
          <w:sz w:val="20"/>
        </w:rPr>
        <w:t>switching from leasing equipment and tools to its subsidiary for production and business activities to lending them instead.</w:t>
      </w:r>
    </w:p>
    <w:p w14:paraId="31BE9E0E" w14:textId="6C215A41" w:rsidR="00F67386" w:rsidRPr="00692C25" w:rsidRDefault="000B0EF9" w:rsidP="002B42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92C25">
        <w:rPr>
          <w:rFonts w:ascii="Arial" w:hAnsi="Arial" w:cs="Arial"/>
          <w:color w:val="010000"/>
          <w:sz w:val="20"/>
        </w:rPr>
        <w:t>The profit after tax in the pre-audit reporting period exceeded the profit after tax post-audit by 22.23% due to the audit's additional provision for accounts receivable in 2023.</w:t>
      </w:r>
    </w:p>
    <w:p w14:paraId="78C252C7" w14:textId="77777777" w:rsidR="00F67386" w:rsidRPr="00692C25" w:rsidRDefault="000B0EF9" w:rsidP="002B42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92C25">
        <w:rPr>
          <w:rFonts w:ascii="Arial" w:hAnsi="Arial" w:cs="Arial"/>
          <w:color w:val="010000"/>
          <w:sz w:val="20"/>
        </w:rPr>
        <w:t>In the Consolidated Financial Statements:</w:t>
      </w:r>
    </w:p>
    <w:p w14:paraId="51EE9860" w14:textId="2C9A0699" w:rsidR="00F67386" w:rsidRPr="00692C25" w:rsidRDefault="000B0EF9" w:rsidP="002B42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92C25">
        <w:rPr>
          <w:rFonts w:ascii="Arial" w:hAnsi="Arial" w:cs="Arial"/>
          <w:color w:val="010000"/>
          <w:sz w:val="20"/>
        </w:rPr>
        <w:t xml:space="preserve">The profit after tax in the Consolidated Financial Statements for the reporting period increased by 94.72% compared to </w:t>
      </w:r>
      <w:r w:rsidR="00557FC2" w:rsidRPr="00692C25">
        <w:rPr>
          <w:rFonts w:ascii="Arial" w:hAnsi="Arial" w:cs="Arial"/>
          <w:color w:val="010000"/>
          <w:sz w:val="20"/>
        </w:rPr>
        <w:t xml:space="preserve">that of </w:t>
      </w:r>
      <w:r w:rsidRPr="00692C25">
        <w:rPr>
          <w:rFonts w:ascii="Arial" w:hAnsi="Arial" w:cs="Arial"/>
          <w:color w:val="010000"/>
          <w:sz w:val="20"/>
        </w:rPr>
        <w:t xml:space="preserve">the same period last year, primarily due to the </w:t>
      </w:r>
      <w:r w:rsidR="00557FC2" w:rsidRPr="00692C25">
        <w:rPr>
          <w:rFonts w:ascii="Arial" w:hAnsi="Arial" w:cs="Arial"/>
          <w:color w:val="010000"/>
          <w:sz w:val="20"/>
        </w:rPr>
        <w:t xml:space="preserve">Subsidiary </w:t>
      </w:r>
      <w:r w:rsidRPr="00692C25">
        <w:rPr>
          <w:rFonts w:ascii="Arial" w:hAnsi="Arial" w:cs="Arial"/>
          <w:color w:val="010000"/>
          <w:sz w:val="20"/>
        </w:rPr>
        <w:t>incurring losses from natural disasters in the first six months of 2022.</w:t>
      </w:r>
    </w:p>
    <w:p w14:paraId="49586CEC" w14:textId="6C28D207" w:rsidR="00F67386" w:rsidRPr="00692C25" w:rsidRDefault="000B0EF9" w:rsidP="002B42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92C25">
        <w:rPr>
          <w:rFonts w:ascii="Arial" w:hAnsi="Arial" w:cs="Arial"/>
          <w:color w:val="010000"/>
          <w:sz w:val="20"/>
        </w:rPr>
        <w:t xml:space="preserve">The profit after tax in the reporting period incurred a loss of </w:t>
      </w:r>
      <w:r w:rsidR="00692C25" w:rsidRPr="00692C25">
        <w:rPr>
          <w:rFonts w:ascii="Arial" w:hAnsi="Arial" w:cs="Arial"/>
          <w:color w:val="010000"/>
          <w:sz w:val="20"/>
        </w:rPr>
        <w:t xml:space="preserve">VND </w:t>
      </w:r>
      <w:r w:rsidRPr="00692C25">
        <w:rPr>
          <w:rFonts w:ascii="Arial" w:hAnsi="Arial" w:cs="Arial"/>
          <w:color w:val="010000"/>
          <w:sz w:val="20"/>
        </w:rPr>
        <w:t>(239,388,025) due to the overall challenging economic conditions affecting the company's business operations, with insufficient revenue to offset the incurred expenses.</w:t>
      </w:r>
    </w:p>
    <w:p w14:paraId="60576F9A" w14:textId="08346E8A" w:rsidR="00F67386" w:rsidRPr="00692C25" w:rsidRDefault="000B0EF9" w:rsidP="002B42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92C25">
        <w:rPr>
          <w:rFonts w:ascii="Arial" w:hAnsi="Arial" w:cs="Arial"/>
          <w:color w:val="010000"/>
          <w:sz w:val="20"/>
        </w:rPr>
        <w:t xml:space="preserve">The profit after tax in the reporting period </w:t>
      </w:r>
      <w:r w:rsidR="00557FC2" w:rsidRPr="00692C25">
        <w:rPr>
          <w:rFonts w:ascii="Arial" w:hAnsi="Arial" w:cs="Arial"/>
          <w:color w:val="010000"/>
          <w:sz w:val="20"/>
        </w:rPr>
        <w:t xml:space="preserve">before audit </w:t>
      </w:r>
      <w:r w:rsidRPr="00692C25">
        <w:rPr>
          <w:rFonts w:ascii="Arial" w:hAnsi="Arial" w:cs="Arial"/>
          <w:color w:val="010000"/>
          <w:sz w:val="20"/>
        </w:rPr>
        <w:t xml:space="preserve">exceeded that in the </w:t>
      </w:r>
      <w:r w:rsidR="00557FC2" w:rsidRPr="00692C25">
        <w:rPr>
          <w:rFonts w:ascii="Arial" w:hAnsi="Arial" w:cs="Arial"/>
          <w:color w:val="010000"/>
          <w:sz w:val="20"/>
        </w:rPr>
        <w:t xml:space="preserve">reporting </w:t>
      </w:r>
      <w:r w:rsidRPr="00692C25">
        <w:rPr>
          <w:rFonts w:ascii="Arial" w:hAnsi="Arial" w:cs="Arial"/>
          <w:color w:val="010000"/>
          <w:sz w:val="20"/>
        </w:rPr>
        <w:t>period</w:t>
      </w:r>
      <w:r w:rsidR="00557FC2" w:rsidRPr="00692C25">
        <w:rPr>
          <w:rFonts w:ascii="Arial" w:hAnsi="Arial" w:cs="Arial"/>
          <w:color w:val="010000"/>
          <w:sz w:val="20"/>
        </w:rPr>
        <w:t xml:space="preserve"> after </w:t>
      </w:r>
      <w:r w:rsidR="00557FC2" w:rsidRPr="00692C25">
        <w:rPr>
          <w:rFonts w:ascii="Arial" w:hAnsi="Arial" w:cs="Arial"/>
          <w:color w:val="010000"/>
          <w:sz w:val="20"/>
        </w:rPr>
        <w:lastRenderedPageBreak/>
        <w:t>audit</w:t>
      </w:r>
      <w:r w:rsidRPr="00692C25">
        <w:rPr>
          <w:rFonts w:ascii="Arial" w:hAnsi="Arial" w:cs="Arial"/>
          <w:color w:val="010000"/>
          <w:sz w:val="20"/>
        </w:rPr>
        <w:t xml:space="preserve"> by 8.54% due to </w:t>
      </w:r>
      <w:r w:rsidR="00692C25" w:rsidRPr="00692C25">
        <w:rPr>
          <w:rFonts w:ascii="Arial" w:hAnsi="Arial" w:cs="Arial"/>
          <w:color w:val="010000"/>
          <w:sz w:val="20"/>
        </w:rPr>
        <w:t xml:space="preserve">the auditor’s </w:t>
      </w:r>
      <w:r w:rsidRPr="00692C25">
        <w:rPr>
          <w:rFonts w:ascii="Arial" w:hAnsi="Arial" w:cs="Arial"/>
          <w:color w:val="010000"/>
          <w:sz w:val="20"/>
        </w:rPr>
        <w:t xml:space="preserve">additional provisions for accounts receivable </w:t>
      </w:r>
      <w:r w:rsidR="00692C25" w:rsidRPr="00692C25">
        <w:rPr>
          <w:rFonts w:ascii="Arial" w:hAnsi="Arial" w:cs="Arial"/>
          <w:color w:val="010000"/>
          <w:sz w:val="20"/>
        </w:rPr>
        <w:t>in</w:t>
      </w:r>
      <w:r w:rsidRPr="00692C25">
        <w:rPr>
          <w:rFonts w:ascii="Arial" w:hAnsi="Arial" w:cs="Arial"/>
          <w:color w:val="010000"/>
          <w:sz w:val="20"/>
        </w:rPr>
        <w:t xml:space="preserve"> 2023</w:t>
      </w:r>
      <w:r w:rsidR="00692C25" w:rsidRPr="00692C25">
        <w:rPr>
          <w:rFonts w:ascii="Arial" w:hAnsi="Arial" w:cs="Arial"/>
          <w:color w:val="010000"/>
          <w:sz w:val="20"/>
        </w:rPr>
        <w:t xml:space="preserve">, </w:t>
      </w:r>
      <w:r w:rsidRPr="00692C25">
        <w:rPr>
          <w:rFonts w:ascii="Arial" w:hAnsi="Arial" w:cs="Arial"/>
          <w:color w:val="010000"/>
          <w:sz w:val="20"/>
        </w:rPr>
        <w:t xml:space="preserve">adjustments </w:t>
      </w:r>
      <w:r w:rsidR="00692C25" w:rsidRPr="00692C25">
        <w:rPr>
          <w:rFonts w:ascii="Arial" w:hAnsi="Arial" w:cs="Arial"/>
          <w:color w:val="010000"/>
          <w:sz w:val="20"/>
        </w:rPr>
        <w:t>to reduce</w:t>
      </w:r>
      <w:r w:rsidRPr="00692C25">
        <w:rPr>
          <w:rFonts w:ascii="Arial" w:hAnsi="Arial" w:cs="Arial"/>
          <w:color w:val="010000"/>
          <w:sz w:val="20"/>
        </w:rPr>
        <w:t xml:space="preserve"> depreciation expenses during the period, </w:t>
      </w:r>
      <w:r w:rsidR="00692C25" w:rsidRPr="00692C25">
        <w:rPr>
          <w:rFonts w:ascii="Arial" w:hAnsi="Arial" w:cs="Arial"/>
          <w:color w:val="010000"/>
          <w:sz w:val="20"/>
        </w:rPr>
        <w:t>and</w:t>
      </w:r>
      <w:r w:rsidRPr="00692C25">
        <w:rPr>
          <w:rFonts w:ascii="Arial" w:hAnsi="Arial" w:cs="Arial"/>
          <w:color w:val="010000"/>
          <w:sz w:val="20"/>
        </w:rPr>
        <w:t xml:space="preserve"> additional </w:t>
      </w:r>
      <w:r w:rsidR="00692C25" w:rsidRPr="00692C25">
        <w:rPr>
          <w:rFonts w:ascii="Arial" w:hAnsi="Arial" w:cs="Arial"/>
          <w:color w:val="010000"/>
          <w:sz w:val="20"/>
        </w:rPr>
        <w:t>accounting</w:t>
      </w:r>
      <w:r w:rsidRPr="00692C25">
        <w:rPr>
          <w:rFonts w:ascii="Arial" w:hAnsi="Arial" w:cs="Arial"/>
          <w:color w:val="010000"/>
          <w:sz w:val="20"/>
        </w:rPr>
        <w:t xml:space="preserve"> for deferred corporate income tax assets for </w:t>
      </w:r>
      <w:r w:rsidR="00692C25" w:rsidRPr="00692C25">
        <w:rPr>
          <w:rFonts w:ascii="Arial" w:hAnsi="Arial" w:cs="Arial"/>
          <w:color w:val="010000"/>
          <w:sz w:val="20"/>
        </w:rPr>
        <w:t>this</w:t>
      </w:r>
      <w:r w:rsidRPr="00692C25">
        <w:rPr>
          <w:rFonts w:ascii="Arial" w:hAnsi="Arial" w:cs="Arial"/>
          <w:color w:val="010000"/>
          <w:sz w:val="20"/>
        </w:rPr>
        <w:t xml:space="preserve"> year.</w:t>
      </w:r>
    </w:p>
    <w:p w14:paraId="4E3C8EEA" w14:textId="77777777" w:rsidR="002B42B9" w:rsidRPr="00692C25" w:rsidRDefault="002B42B9" w:rsidP="0092705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GoBack"/>
      <w:bookmarkEnd w:id="0"/>
    </w:p>
    <w:sectPr w:rsidR="002B42B9" w:rsidRPr="00692C25" w:rsidSect="000B0EF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477"/>
    <w:multiLevelType w:val="multilevel"/>
    <w:tmpl w:val="745C8A9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AE1695E"/>
    <w:multiLevelType w:val="multilevel"/>
    <w:tmpl w:val="0FD0F3D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A7456E6"/>
    <w:multiLevelType w:val="multilevel"/>
    <w:tmpl w:val="8A266830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86"/>
    <w:rsid w:val="000B0EF9"/>
    <w:rsid w:val="0022469D"/>
    <w:rsid w:val="002B42B9"/>
    <w:rsid w:val="00461171"/>
    <w:rsid w:val="00557FC2"/>
    <w:rsid w:val="00692C25"/>
    <w:rsid w:val="00927056"/>
    <w:rsid w:val="00944D6C"/>
    <w:rsid w:val="00F6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89B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ablecaption">
    <w:name w:val="Table caption_"/>
    <w:basedOn w:val="DefaultParagraphFont"/>
    <w:link w:val="Tablecaption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Tablecaption0">
    <w:name w:val="Table caption"/>
    <w:basedOn w:val="Normal"/>
    <w:link w:val="Tablecaption"/>
    <w:pPr>
      <w:spacing w:line="377" w:lineRule="auto"/>
      <w:jc w:val="right"/>
    </w:pPr>
    <w:rPr>
      <w:rFonts w:ascii="Arial" w:eastAsia="Arial" w:hAnsi="Arial" w:cs="Arial"/>
      <w:i/>
      <w:iCs/>
      <w:sz w:val="20"/>
      <w:szCs w:val="20"/>
    </w:rPr>
  </w:style>
  <w:style w:type="paragraph" w:customStyle="1" w:styleId="Other0">
    <w:name w:val="Other"/>
    <w:basedOn w:val="Normal"/>
    <w:link w:val="Other"/>
    <w:pPr>
      <w:spacing w:line="338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338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1">
    <w:name w:val="Heading #1"/>
    <w:basedOn w:val="Normal"/>
    <w:link w:val="Heading10"/>
    <w:pPr>
      <w:ind w:left="3620" w:firstLine="38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377" w:lineRule="auto"/>
      <w:ind w:left="1160"/>
    </w:pPr>
    <w:rPr>
      <w:rFonts w:ascii="Arial" w:eastAsia="Arial" w:hAnsi="Arial" w:cs="Arial"/>
      <w:i/>
      <w:i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ablecaption">
    <w:name w:val="Table caption_"/>
    <w:basedOn w:val="DefaultParagraphFont"/>
    <w:link w:val="Tablecaption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Tablecaption0">
    <w:name w:val="Table caption"/>
    <w:basedOn w:val="Normal"/>
    <w:link w:val="Tablecaption"/>
    <w:pPr>
      <w:spacing w:line="377" w:lineRule="auto"/>
      <w:jc w:val="right"/>
    </w:pPr>
    <w:rPr>
      <w:rFonts w:ascii="Arial" w:eastAsia="Arial" w:hAnsi="Arial" w:cs="Arial"/>
      <w:i/>
      <w:iCs/>
      <w:sz w:val="20"/>
      <w:szCs w:val="20"/>
    </w:rPr>
  </w:style>
  <w:style w:type="paragraph" w:customStyle="1" w:styleId="Other0">
    <w:name w:val="Other"/>
    <w:basedOn w:val="Normal"/>
    <w:link w:val="Other"/>
    <w:pPr>
      <w:spacing w:line="338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338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1">
    <w:name w:val="Heading #1"/>
    <w:basedOn w:val="Normal"/>
    <w:link w:val="Heading10"/>
    <w:pPr>
      <w:ind w:left="3620" w:firstLine="38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377" w:lineRule="auto"/>
      <w:ind w:left="1160"/>
    </w:pPr>
    <w:rPr>
      <w:rFonts w:ascii="Arial" w:eastAsia="Arial" w:hAnsi="Arial" w:cs="Arial"/>
      <w:i/>
      <w:i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07nuR+XvzY0J5jWeJ0JfQ6kEEw==">CgMxLjA4AHIhMUtuY1lKVU41akFCanJEMklDZ3M2OWcxV0steHNZd2lK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8</cp:revision>
  <dcterms:created xsi:type="dcterms:W3CDTF">2024-04-09T03:40:00Z</dcterms:created>
  <dcterms:modified xsi:type="dcterms:W3CDTF">2024-04-10T04:04:00Z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02ae0fcc0770a54423546186f7eb9c6330f320c289870bf9b42c891382a74747</vt:lpwstr>
  </property>
</Properties>
</file>