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566CE" w14:textId="77777777" w:rsidR="00A60A96" w:rsidRPr="001237A1" w:rsidRDefault="00C224CF" w:rsidP="008132FE">
      <w:pPr>
        <w:pBdr>
          <w:top w:val="nil"/>
          <w:left w:val="nil"/>
          <w:bottom w:val="nil"/>
          <w:right w:val="nil"/>
          <w:between w:val="nil"/>
        </w:pBdr>
        <w:tabs>
          <w:tab w:val="left" w:pos="360"/>
          <w:tab w:val="left" w:pos="630"/>
          <w:tab w:val="left" w:pos="4691"/>
        </w:tabs>
        <w:spacing w:after="120" w:line="360" w:lineRule="auto"/>
        <w:jc w:val="both"/>
        <w:rPr>
          <w:rFonts w:ascii="Arial" w:eastAsia="Arial" w:hAnsi="Arial" w:cs="Arial"/>
          <w:b/>
          <w:color w:val="010000"/>
          <w:sz w:val="20"/>
          <w:szCs w:val="20"/>
        </w:rPr>
      </w:pPr>
      <w:r w:rsidRPr="001237A1">
        <w:rPr>
          <w:rFonts w:ascii="Arial" w:hAnsi="Arial" w:cs="Arial"/>
          <w:b/>
          <w:color w:val="010000"/>
          <w:sz w:val="20"/>
        </w:rPr>
        <w:t>VCC: Annual General Mandate 2024</w:t>
      </w:r>
    </w:p>
    <w:p w14:paraId="36F5D2F7" w14:textId="77777777" w:rsidR="00A60A96" w:rsidRPr="001237A1" w:rsidRDefault="00C224CF" w:rsidP="008132FE">
      <w:pPr>
        <w:pBdr>
          <w:top w:val="nil"/>
          <w:left w:val="nil"/>
          <w:bottom w:val="nil"/>
          <w:right w:val="nil"/>
          <w:between w:val="nil"/>
        </w:pBdr>
        <w:tabs>
          <w:tab w:val="left" w:pos="360"/>
          <w:tab w:val="left" w:pos="630"/>
          <w:tab w:val="left" w:pos="4691"/>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On March 30, 2024, </w:t>
      </w:r>
      <w:proofErr w:type="spellStart"/>
      <w:r w:rsidRPr="001237A1">
        <w:rPr>
          <w:rFonts w:ascii="Arial" w:hAnsi="Arial" w:cs="Arial"/>
          <w:color w:val="010000"/>
          <w:sz w:val="20"/>
        </w:rPr>
        <w:t>Vinaconex</w:t>
      </w:r>
      <w:proofErr w:type="spellEnd"/>
      <w:r w:rsidRPr="001237A1">
        <w:rPr>
          <w:rFonts w:ascii="Arial" w:hAnsi="Arial" w:cs="Arial"/>
          <w:color w:val="010000"/>
          <w:sz w:val="20"/>
        </w:rPr>
        <w:t xml:space="preserve"> 25 JSC announced General Mandate No. 01/2024/NQ-DHDCD as follows:</w:t>
      </w:r>
    </w:p>
    <w:p w14:paraId="0FAB1750" w14:textId="1A6FC061"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1. Approve the production and business results in 2023 and </w:t>
      </w:r>
      <w:r w:rsidR="005800CC" w:rsidRPr="001237A1">
        <w:rPr>
          <w:rFonts w:ascii="Arial" w:hAnsi="Arial" w:cs="Arial"/>
          <w:color w:val="010000"/>
          <w:sz w:val="20"/>
        </w:rPr>
        <w:t>p</w:t>
      </w:r>
      <w:r w:rsidRPr="001237A1">
        <w:rPr>
          <w:rFonts w:ascii="Arial" w:hAnsi="Arial" w:cs="Arial"/>
          <w:color w:val="010000"/>
          <w:sz w:val="20"/>
        </w:rPr>
        <w:t xml:space="preserve">lan </w:t>
      </w:r>
      <w:r w:rsidR="005800CC" w:rsidRPr="001237A1">
        <w:rPr>
          <w:rFonts w:ascii="Arial" w:hAnsi="Arial" w:cs="Arial"/>
          <w:color w:val="010000"/>
          <w:sz w:val="20"/>
        </w:rPr>
        <w:t xml:space="preserve">in </w:t>
      </w:r>
      <w:r w:rsidR="008132FE">
        <w:rPr>
          <w:rFonts w:ascii="Arial" w:hAnsi="Arial" w:cs="Arial"/>
          <w:color w:val="010000"/>
          <w:sz w:val="20"/>
        </w:rPr>
        <w:t>2024 by</w:t>
      </w:r>
      <w:r w:rsidRPr="001237A1">
        <w:rPr>
          <w:rFonts w:ascii="Arial" w:hAnsi="Arial" w:cs="Arial"/>
          <w:color w:val="010000"/>
          <w:sz w:val="20"/>
        </w:rPr>
        <w:t xml:space="preserve"> </w:t>
      </w:r>
      <w:proofErr w:type="spellStart"/>
      <w:r w:rsidRPr="001237A1">
        <w:rPr>
          <w:rFonts w:ascii="Arial" w:hAnsi="Arial" w:cs="Arial"/>
          <w:color w:val="010000"/>
          <w:sz w:val="20"/>
        </w:rPr>
        <w:t>Vinaconex</w:t>
      </w:r>
      <w:proofErr w:type="spellEnd"/>
      <w:r w:rsidRPr="001237A1">
        <w:rPr>
          <w:rFonts w:ascii="Arial" w:hAnsi="Arial" w:cs="Arial"/>
          <w:color w:val="010000"/>
          <w:sz w:val="20"/>
        </w:rPr>
        <w:t xml:space="preserve"> 25 JSC according to Report No. 124BC/2024/VC25-BDH dated March 18, 2024.</w:t>
      </w:r>
    </w:p>
    <w:p w14:paraId="31AA19C7" w14:textId="77777777" w:rsidR="00A60A96" w:rsidRPr="001237A1" w:rsidRDefault="00C224CF" w:rsidP="008132FE">
      <w:pPr>
        <w:keepNext/>
        <w:numPr>
          <w:ilvl w:val="0"/>
          <w:numId w:val="8"/>
        </w:numPr>
        <w:pBdr>
          <w:top w:val="nil"/>
          <w:left w:val="nil"/>
          <w:bottom w:val="nil"/>
          <w:right w:val="nil"/>
          <w:between w:val="nil"/>
        </w:pBdr>
        <w:tabs>
          <w:tab w:val="left" w:pos="360"/>
          <w:tab w:val="left" w:pos="558"/>
          <w:tab w:val="left" w:pos="630"/>
          <w:tab w:val="left" w:pos="10574"/>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Results of some main targets: </w:t>
      </w:r>
    </w:p>
    <w:p w14:paraId="65ABA63B"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right"/>
        <w:rPr>
          <w:rFonts w:ascii="Arial" w:eastAsia="Arial" w:hAnsi="Arial" w:cs="Arial"/>
          <w:color w:val="010000"/>
          <w:sz w:val="20"/>
          <w:szCs w:val="20"/>
        </w:rPr>
      </w:pPr>
      <w:r w:rsidRPr="001237A1">
        <w:rPr>
          <w:rFonts w:ascii="Arial" w:hAnsi="Arial" w:cs="Arial"/>
          <w:color w:val="010000"/>
          <w:sz w:val="20"/>
        </w:rPr>
        <w:t>Unit: million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3037"/>
        <w:gridCol w:w="1877"/>
        <w:gridCol w:w="1751"/>
        <w:gridCol w:w="1535"/>
      </w:tblGrid>
      <w:tr w:rsidR="00A60A96" w:rsidRPr="001237A1" w14:paraId="7B150D1D" w14:textId="77777777" w:rsidTr="005865AA">
        <w:tc>
          <w:tcPr>
            <w:tcW w:w="453" w:type="pct"/>
            <w:shd w:val="clear" w:color="auto" w:fill="auto"/>
            <w:tcMar>
              <w:top w:w="0" w:type="dxa"/>
              <w:bottom w:w="0" w:type="dxa"/>
            </w:tcMar>
            <w:vAlign w:val="center"/>
          </w:tcPr>
          <w:p w14:paraId="0515157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No.</w:t>
            </w:r>
          </w:p>
        </w:tc>
        <w:tc>
          <w:tcPr>
            <w:tcW w:w="1684" w:type="pct"/>
            <w:shd w:val="clear" w:color="auto" w:fill="auto"/>
            <w:tcMar>
              <w:top w:w="0" w:type="dxa"/>
              <w:bottom w:w="0" w:type="dxa"/>
            </w:tcMar>
            <w:vAlign w:val="center"/>
          </w:tcPr>
          <w:p w14:paraId="14E4CBD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Target</w:t>
            </w:r>
          </w:p>
        </w:tc>
        <w:tc>
          <w:tcPr>
            <w:tcW w:w="1041" w:type="pct"/>
            <w:shd w:val="clear" w:color="auto" w:fill="auto"/>
            <w:tcMar>
              <w:top w:w="0" w:type="dxa"/>
              <w:bottom w:w="0" w:type="dxa"/>
            </w:tcMar>
            <w:vAlign w:val="center"/>
          </w:tcPr>
          <w:p w14:paraId="286C1879"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2023 Plan (as in General Mandate)</w:t>
            </w:r>
          </w:p>
        </w:tc>
        <w:tc>
          <w:tcPr>
            <w:tcW w:w="971" w:type="pct"/>
            <w:shd w:val="clear" w:color="auto" w:fill="auto"/>
            <w:tcMar>
              <w:top w:w="0" w:type="dxa"/>
              <w:bottom w:w="0" w:type="dxa"/>
            </w:tcMar>
            <w:vAlign w:val="center"/>
          </w:tcPr>
          <w:p w14:paraId="55F3A3FC"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2023 Results</w:t>
            </w:r>
          </w:p>
        </w:tc>
        <w:tc>
          <w:tcPr>
            <w:tcW w:w="851" w:type="pct"/>
            <w:shd w:val="clear" w:color="auto" w:fill="auto"/>
            <w:tcMar>
              <w:top w:w="0" w:type="dxa"/>
              <w:bottom w:w="0" w:type="dxa"/>
            </w:tcMar>
            <w:vAlign w:val="center"/>
          </w:tcPr>
          <w:p w14:paraId="7EE6E611"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Rate of Results/Plan</w:t>
            </w:r>
          </w:p>
        </w:tc>
      </w:tr>
      <w:tr w:rsidR="00A60A96" w:rsidRPr="001237A1" w14:paraId="58173DC3" w14:textId="77777777" w:rsidTr="005865AA">
        <w:tc>
          <w:tcPr>
            <w:tcW w:w="453" w:type="pct"/>
            <w:shd w:val="clear" w:color="auto" w:fill="auto"/>
            <w:tcMar>
              <w:top w:w="0" w:type="dxa"/>
              <w:bottom w:w="0" w:type="dxa"/>
            </w:tcMar>
            <w:vAlign w:val="center"/>
          </w:tcPr>
          <w:p w14:paraId="71A503F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w:t>
            </w:r>
          </w:p>
        </w:tc>
        <w:tc>
          <w:tcPr>
            <w:tcW w:w="1684" w:type="pct"/>
            <w:shd w:val="clear" w:color="auto" w:fill="auto"/>
            <w:tcMar>
              <w:top w:w="0" w:type="dxa"/>
              <w:bottom w:w="0" w:type="dxa"/>
            </w:tcMar>
            <w:vAlign w:val="center"/>
          </w:tcPr>
          <w:p w14:paraId="6295693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Total output value</w:t>
            </w:r>
          </w:p>
        </w:tc>
        <w:tc>
          <w:tcPr>
            <w:tcW w:w="1041" w:type="pct"/>
            <w:shd w:val="clear" w:color="auto" w:fill="auto"/>
            <w:tcMar>
              <w:top w:w="0" w:type="dxa"/>
              <w:bottom w:w="0" w:type="dxa"/>
            </w:tcMar>
            <w:vAlign w:val="center"/>
          </w:tcPr>
          <w:p w14:paraId="18F1C756"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1,773,083</w:t>
            </w:r>
          </w:p>
        </w:tc>
        <w:tc>
          <w:tcPr>
            <w:tcW w:w="971" w:type="pct"/>
            <w:shd w:val="clear" w:color="auto" w:fill="auto"/>
            <w:tcMar>
              <w:top w:w="0" w:type="dxa"/>
              <w:bottom w:w="0" w:type="dxa"/>
            </w:tcMar>
            <w:vAlign w:val="center"/>
          </w:tcPr>
          <w:p w14:paraId="0E78E0BF"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1,535,084</w:t>
            </w:r>
          </w:p>
        </w:tc>
        <w:tc>
          <w:tcPr>
            <w:tcW w:w="851" w:type="pct"/>
            <w:shd w:val="clear" w:color="auto" w:fill="auto"/>
            <w:tcMar>
              <w:top w:w="0" w:type="dxa"/>
              <w:bottom w:w="0" w:type="dxa"/>
            </w:tcMar>
            <w:vAlign w:val="center"/>
          </w:tcPr>
          <w:p w14:paraId="4E52C332"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86.6%</w:t>
            </w:r>
          </w:p>
        </w:tc>
      </w:tr>
      <w:tr w:rsidR="00A60A96" w:rsidRPr="001237A1" w14:paraId="0AC44DDA" w14:textId="77777777" w:rsidTr="005865AA">
        <w:tc>
          <w:tcPr>
            <w:tcW w:w="453" w:type="pct"/>
            <w:shd w:val="clear" w:color="auto" w:fill="auto"/>
            <w:tcMar>
              <w:top w:w="0" w:type="dxa"/>
              <w:bottom w:w="0" w:type="dxa"/>
            </w:tcMar>
            <w:vAlign w:val="center"/>
          </w:tcPr>
          <w:p w14:paraId="0EA9519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w:t>
            </w:r>
          </w:p>
        </w:tc>
        <w:tc>
          <w:tcPr>
            <w:tcW w:w="1684" w:type="pct"/>
            <w:shd w:val="clear" w:color="auto" w:fill="auto"/>
            <w:tcMar>
              <w:top w:w="0" w:type="dxa"/>
              <w:bottom w:w="0" w:type="dxa"/>
            </w:tcMar>
            <w:vAlign w:val="center"/>
          </w:tcPr>
          <w:p w14:paraId="10AAAE1F"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Total value of revenue</w:t>
            </w:r>
          </w:p>
        </w:tc>
        <w:tc>
          <w:tcPr>
            <w:tcW w:w="1041" w:type="pct"/>
            <w:shd w:val="clear" w:color="auto" w:fill="auto"/>
            <w:tcMar>
              <w:top w:w="0" w:type="dxa"/>
              <w:bottom w:w="0" w:type="dxa"/>
            </w:tcMar>
            <w:vAlign w:val="center"/>
          </w:tcPr>
          <w:p w14:paraId="7EE6A69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1,489,176</w:t>
            </w:r>
          </w:p>
        </w:tc>
        <w:tc>
          <w:tcPr>
            <w:tcW w:w="971" w:type="pct"/>
            <w:shd w:val="clear" w:color="auto" w:fill="auto"/>
            <w:tcMar>
              <w:top w:w="0" w:type="dxa"/>
              <w:bottom w:w="0" w:type="dxa"/>
            </w:tcMar>
            <w:vAlign w:val="center"/>
          </w:tcPr>
          <w:p w14:paraId="7190D134"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1,204,887</w:t>
            </w:r>
          </w:p>
        </w:tc>
        <w:tc>
          <w:tcPr>
            <w:tcW w:w="851" w:type="pct"/>
            <w:shd w:val="clear" w:color="auto" w:fill="auto"/>
            <w:tcMar>
              <w:top w:w="0" w:type="dxa"/>
              <w:bottom w:w="0" w:type="dxa"/>
            </w:tcMar>
            <w:vAlign w:val="center"/>
          </w:tcPr>
          <w:p w14:paraId="5BB6B17F"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80.9%</w:t>
            </w:r>
          </w:p>
        </w:tc>
      </w:tr>
      <w:tr w:rsidR="00A60A96" w:rsidRPr="001237A1" w14:paraId="546DFE4C" w14:textId="77777777" w:rsidTr="005865AA">
        <w:tc>
          <w:tcPr>
            <w:tcW w:w="453" w:type="pct"/>
            <w:shd w:val="clear" w:color="auto" w:fill="auto"/>
            <w:tcMar>
              <w:top w:w="0" w:type="dxa"/>
              <w:bottom w:w="0" w:type="dxa"/>
            </w:tcMar>
            <w:vAlign w:val="center"/>
          </w:tcPr>
          <w:p w14:paraId="27EB4936"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w:t>
            </w:r>
          </w:p>
        </w:tc>
        <w:tc>
          <w:tcPr>
            <w:tcW w:w="1684" w:type="pct"/>
            <w:shd w:val="clear" w:color="auto" w:fill="auto"/>
            <w:tcMar>
              <w:top w:w="0" w:type="dxa"/>
              <w:bottom w:w="0" w:type="dxa"/>
            </w:tcMar>
            <w:vAlign w:val="center"/>
          </w:tcPr>
          <w:p w14:paraId="08646C1F"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Profit before tax</w:t>
            </w:r>
          </w:p>
        </w:tc>
        <w:tc>
          <w:tcPr>
            <w:tcW w:w="1041" w:type="pct"/>
            <w:shd w:val="clear" w:color="auto" w:fill="auto"/>
            <w:tcMar>
              <w:top w:w="0" w:type="dxa"/>
              <w:bottom w:w="0" w:type="dxa"/>
            </w:tcMar>
            <w:vAlign w:val="center"/>
          </w:tcPr>
          <w:p w14:paraId="0F948A0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38,849</w:t>
            </w:r>
          </w:p>
        </w:tc>
        <w:tc>
          <w:tcPr>
            <w:tcW w:w="971" w:type="pct"/>
            <w:shd w:val="clear" w:color="auto" w:fill="auto"/>
            <w:tcMar>
              <w:top w:w="0" w:type="dxa"/>
              <w:bottom w:w="0" w:type="dxa"/>
            </w:tcMar>
            <w:vAlign w:val="center"/>
          </w:tcPr>
          <w:p w14:paraId="507FDAD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12,135</w:t>
            </w:r>
          </w:p>
        </w:tc>
        <w:tc>
          <w:tcPr>
            <w:tcW w:w="851" w:type="pct"/>
            <w:shd w:val="clear" w:color="auto" w:fill="auto"/>
            <w:tcMar>
              <w:top w:w="0" w:type="dxa"/>
              <w:bottom w:w="0" w:type="dxa"/>
            </w:tcMar>
            <w:vAlign w:val="center"/>
          </w:tcPr>
          <w:p w14:paraId="53FAB7E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31.2%</w:t>
            </w:r>
          </w:p>
        </w:tc>
      </w:tr>
      <w:tr w:rsidR="00A60A96" w:rsidRPr="001237A1" w14:paraId="0112F4FB" w14:textId="77777777" w:rsidTr="005865AA">
        <w:tc>
          <w:tcPr>
            <w:tcW w:w="453" w:type="pct"/>
            <w:shd w:val="clear" w:color="auto" w:fill="auto"/>
            <w:tcMar>
              <w:top w:w="0" w:type="dxa"/>
              <w:bottom w:w="0" w:type="dxa"/>
            </w:tcMar>
            <w:vAlign w:val="center"/>
          </w:tcPr>
          <w:p w14:paraId="1AC17A3C"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4</w:t>
            </w:r>
          </w:p>
        </w:tc>
        <w:tc>
          <w:tcPr>
            <w:tcW w:w="1684" w:type="pct"/>
            <w:shd w:val="clear" w:color="auto" w:fill="auto"/>
            <w:tcMar>
              <w:top w:w="0" w:type="dxa"/>
              <w:bottom w:w="0" w:type="dxa"/>
            </w:tcMar>
            <w:vAlign w:val="center"/>
          </w:tcPr>
          <w:p w14:paraId="0B7B145C"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Profit after tax</w:t>
            </w:r>
          </w:p>
        </w:tc>
        <w:tc>
          <w:tcPr>
            <w:tcW w:w="1041" w:type="pct"/>
            <w:shd w:val="clear" w:color="auto" w:fill="auto"/>
            <w:tcMar>
              <w:top w:w="0" w:type="dxa"/>
              <w:bottom w:w="0" w:type="dxa"/>
            </w:tcMar>
            <w:vAlign w:val="center"/>
          </w:tcPr>
          <w:p w14:paraId="0BC8C89E"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21,486</w:t>
            </w:r>
          </w:p>
        </w:tc>
        <w:tc>
          <w:tcPr>
            <w:tcW w:w="971" w:type="pct"/>
            <w:shd w:val="clear" w:color="auto" w:fill="auto"/>
            <w:tcMar>
              <w:top w:w="0" w:type="dxa"/>
              <w:bottom w:w="0" w:type="dxa"/>
            </w:tcMar>
            <w:vAlign w:val="center"/>
          </w:tcPr>
          <w:p w14:paraId="30C51BE8"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8,304</w:t>
            </w:r>
          </w:p>
        </w:tc>
        <w:tc>
          <w:tcPr>
            <w:tcW w:w="851" w:type="pct"/>
            <w:shd w:val="clear" w:color="auto" w:fill="auto"/>
            <w:tcMar>
              <w:top w:w="0" w:type="dxa"/>
              <w:bottom w:w="0" w:type="dxa"/>
            </w:tcMar>
            <w:vAlign w:val="center"/>
          </w:tcPr>
          <w:p w14:paraId="14CC6A3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38.6%</w:t>
            </w:r>
          </w:p>
        </w:tc>
      </w:tr>
      <w:tr w:rsidR="00A60A96" w:rsidRPr="001237A1" w14:paraId="341A48F9" w14:textId="77777777" w:rsidTr="005865AA">
        <w:tc>
          <w:tcPr>
            <w:tcW w:w="453" w:type="pct"/>
            <w:shd w:val="clear" w:color="auto" w:fill="auto"/>
            <w:tcMar>
              <w:top w:w="0" w:type="dxa"/>
              <w:bottom w:w="0" w:type="dxa"/>
            </w:tcMar>
            <w:vAlign w:val="center"/>
          </w:tcPr>
          <w:p w14:paraId="4F4CFB7A"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5</w:t>
            </w:r>
          </w:p>
        </w:tc>
        <w:tc>
          <w:tcPr>
            <w:tcW w:w="1684" w:type="pct"/>
            <w:shd w:val="clear" w:color="auto" w:fill="auto"/>
            <w:tcMar>
              <w:top w:w="0" w:type="dxa"/>
              <w:bottom w:w="0" w:type="dxa"/>
            </w:tcMar>
            <w:vAlign w:val="center"/>
          </w:tcPr>
          <w:p w14:paraId="57585D4C"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Dividend payment rate (Charter capital of VND 240 billion)</w:t>
            </w:r>
          </w:p>
        </w:tc>
        <w:tc>
          <w:tcPr>
            <w:tcW w:w="1041" w:type="pct"/>
            <w:shd w:val="clear" w:color="auto" w:fill="auto"/>
            <w:tcMar>
              <w:top w:w="0" w:type="dxa"/>
              <w:bottom w:w="0" w:type="dxa"/>
            </w:tcMar>
            <w:vAlign w:val="center"/>
          </w:tcPr>
          <w:p w14:paraId="74001A14"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7.5%</w:t>
            </w:r>
          </w:p>
        </w:tc>
        <w:tc>
          <w:tcPr>
            <w:tcW w:w="971" w:type="pct"/>
            <w:shd w:val="clear" w:color="auto" w:fill="auto"/>
            <w:tcMar>
              <w:top w:w="0" w:type="dxa"/>
              <w:bottom w:w="0" w:type="dxa"/>
            </w:tcMar>
            <w:vAlign w:val="center"/>
          </w:tcPr>
          <w:p w14:paraId="42F55991"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3.5%</w:t>
            </w:r>
          </w:p>
        </w:tc>
        <w:tc>
          <w:tcPr>
            <w:tcW w:w="851" w:type="pct"/>
            <w:shd w:val="clear" w:color="auto" w:fill="auto"/>
            <w:tcMar>
              <w:top w:w="0" w:type="dxa"/>
              <w:bottom w:w="0" w:type="dxa"/>
            </w:tcMar>
            <w:vAlign w:val="center"/>
          </w:tcPr>
          <w:p w14:paraId="5979E38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46.7%</w:t>
            </w:r>
          </w:p>
        </w:tc>
      </w:tr>
    </w:tbl>
    <w:p w14:paraId="6F6E4242" w14:textId="77777777" w:rsidR="00A60A96" w:rsidRPr="001237A1" w:rsidRDefault="00C224CF" w:rsidP="005865AA">
      <w:pPr>
        <w:keepNext/>
        <w:numPr>
          <w:ilvl w:val="0"/>
          <w:numId w:val="8"/>
        </w:numPr>
        <w:pBdr>
          <w:top w:val="nil"/>
          <w:left w:val="nil"/>
          <w:bottom w:val="nil"/>
          <w:right w:val="nil"/>
          <w:between w:val="nil"/>
        </w:pBdr>
        <w:tabs>
          <w:tab w:val="left" w:pos="360"/>
          <w:tab w:val="left" w:pos="560"/>
          <w:tab w:val="left" w:pos="630"/>
        </w:tabs>
        <w:spacing w:after="120" w:line="360" w:lineRule="auto"/>
        <w:rPr>
          <w:rFonts w:ascii="Arial" w:hAnsi="Arial" w:cs="Arial"/>
          <w:color w:val="010000"/>
          <w:sz w:val="20"/>
          <w:szCs w:val="20"/>
        </w:rPr>
      </w:pPr>
      <w:r w:rsidRPr="001237A1">
        <w:rPr>
          <w:rFonts w:ascii="Arial" w:hAnsi="Arial" w:cs="Arial"/>
          <w:color w:val="010000"/>
          <w:sz w:val="20"/>
        </w:rPr>
        <w:t>Target plan in 2024</w:t>
      </w:r>
    </w:p>
    <w:p w14:paraId="73F0DAF4"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Unit: million VND</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4"/>
        <w:gridCol w:w="3367"/>
        <w:gridCol w:w="1656"/>
        <w:gridCol w:w="1564"/>
        <w:gridCol w:w="1656"/>
      </w:tblGrid>
      <w:tr w:rsidR="00A60A96" w:rsidRPr="001237A1" w14:paraId="2635072C" w14:textId="77777777" w:rsidTr="005865AA">
        <w:tc>
          <w:tcPr>
            <w:tcW w:w="429" w:type="pct"/>
            <w:shd w:val="clear" w:color="auto" w:fill="auto"/>
            <w:tcMar>
              <w:top w:w="0" w:type="dxa"/>
              <w:bottom w:w="0" w:type="dxa"/>
            </w:tcMar>
            <w:vAlign w:val="center"/>
          </w:tcPr>
          <w:p w14:paraId="7A0CC1F1"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No.</w:t>
            </w:r>
          </w:p>
        </w:tc>
        <w:tc>
          <w:tcPr>
            <w:tcW w:w="1867" w:type="pct"/>
            <w:shd w:val="clear" w:color="auto" w:fill="auto"/>
            <w:tcMar>
              <w:top w:w="0" w:type="dxa"/>
              <w:bottom w:w="0" w:type="dxa"/>
            </w:tcMar>
            <w:vAlign w:val="center"/>
          </w:tcPr>
          <w:p w14:paraId="56792BC4"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Target</w:t>
            </w:r>
          </w:p>
        </w:tc>
        <w:tc>
          <w:tcPr>
            <w:tcW w:w="918" w:type="pct"/>
            <w:shd w:val="clear" w:color="auto" w:fill="auto"/>
            <w:tcMar>
              <w:top w:w="0" w:type="dxa"/>
              <w:bottom w:w="0" w:type="dxa"/>
            </w:tcMar>
            <w:vAlign w:val="center"/>
          </w:tcPr>
          <w:p w14:paraId="0190E9BB"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2023 Results</w:t>
            </w:r>
          </w:p>
        </w:tc>
        <w:tc>
          <w:tcPr>
            <w:tcW w:w="867" w:type="pct"/>
            <w:shd w:val="clear" w:color="auto" w:fill="auto"/>
            <w:tcMar>
              <w:top w:w="0" w:type="dxa"/>
              <w:bottom w:w="0" w:type="dxa"/>
            </w:tcMar>
            <w:vAlign w:val="center"/>
          </w:tcPr>
          <w:p w14:paraId="2F635126"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2024 Plan</w:t>
            </w:r>
          </w:p>
        </w:tc>
        <w:tc>
          <w:tcPr>
            <w:tcW w:w="918" w:type="pct"/>
            <w:shd w:val="clear" w:color="auto" w:fill="auto"/>
            <w:tcMar>
              <w:top w:w="0" w:type="dxa"/>
              <w:bottom w:w="0" w:type="dxa"/>
            </w:tcMar>
            <w:vAlign w:val="center"/>
          </w:tcPr>
          <w:p w14:paraId="102CEAB6"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Increase rate of 2024/2023</w:t>
            </w:r>
          </w:p>
        </w:tc>
      </w:tr>
      <w:tr w:rsidR="00A60A96" w:rsidRPr="001237A1" w14:paraId="4FC2E9DA" w14:textId="77777777" w:rsidTr="005865AA">
        <w:tc>
          <w:tcPr>
            <w:tcW w:w="429" w:type="pct"/>
            <w:shd w:val="clear" w:color="auto" w:fill="auto"/>
            <w:tcMar>
              <w:top w:w="0" w:type="dxa"/>
              <w:bottom w:w="0" w:type="dxa"/>
            </w:tcMar>
            <w:vAlign w:val="center"/>
          </w:tcPr>
          <w:p w14:paraId="5B60E3E9"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w:t>
            </w:r>
          </w:p>
        </w:tc>
        <w:tc>
          <w:tcPr>
            <w:tcW w:w="1867" w:type="pct"/>
            <w:shd w:val="clear" w:color="auto" w:fill="auto"/>
            <w:tcMar>
              <w:top w:w="0" w:type="dxa"/>
              <w:bottom w:w="0" w:type="dxa"/>
            </w:tcMar>
            <w:vAlign w:val="center"/>
          </w:tcPr>
          <w:p w14:paraId="2F143754"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Total output value</w:t>
            </w:r>
          </w:p>
        </w:tc>
        <w:tc>
          <w:tcPr>
            <w:tcW w:w="918" w:type="pct"/>
            <w:shd w:val="clear" w:color="auto" w:fill="auto"/>
            <w:tcMar>
              <w:top w:w="0" w:type="dxa"/>
              <w:bottom w:w="0" w:type="dxa"/>
            </w:tcMar>
            <w:vAlign w:val="center"/>
          </w:tcPr>
          <w:p w14:paraId="359B4CDC"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1,535,084</w:t>
            </w:r>
          </w:p>
        </w:tc>
        <w:tc>
          <w:tcPr>
            <w:tcW w:w="867" w:type="pct"/>
            <w:shd w:val="clear" w:color="auto" w:fill="auto"/>
            <w:tcMar>
              <w:top w:w="0" w:type="dxa"/>
              <w:bottom w:w="0" w:type="dxa"/>
            </w:tcMar>
            <w:vAlign w:val="center"/>
          </w:tcPr>
          <w:p w14:paraId="21E0685E"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1,946,565</w:t>
            </w:r>
          </w:p>
        </w:tc>
        <w:tc>
          <w:tcPr>
            <w:tcW w:w="918" w:type="pct"/>
            <w:shd w:val="clear" w:color="auto" w:fill="auto"/>
            <w:tcMar>
              <w:top w:w="0" w:type="dxa"/>
              <w:bottom w:w="0" w:type="dxa"/>
            </w:tcMar>
            <w:vAlign w:val="center"/>
          </w:tcPr>
          <w:p w14:paraId="3910ACD3"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127%</w:t>
            </w:r>
          </w:p>
        </w:tc>
      </w:tr>
      <w:tr w:rsidR="00A60A96" w:rsidRPr="001237A1" w14:paraId="0476B29F" w14:textId="77777777" w:rsidTr="005865AA">
        <w:tc>
          <w:tcPr>
            <w:tcW w:w="429" w:type="pct"/>
            <w:shd w:val="clear" w:color="auto" w:fill="auto"/>
            <w:tcMar>
              <w:top w:w="0" w:type="dxa"/>
              <w:bottom w:w="0" w:type="dxa"/>
            </w:tcMar>
            <w:vAlign w:val="center"/>
          </w:tcPr>
          <w:p w14:paraId="039229D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w:t>
            </w:r>
          </w:p>
        </w:tc>
        <w:tc>
          <w:tcPr>
            <w:tcW w:w="1867" w:type="pct"/>
            <w:shd w:val="clear" w:color="auto" w:fill="auto"/>
            <w:tcMar>
              <w:top w:w="0" w:type="dxa"/>
              <w:bottom w:w="0" w:type="dxa"/>
            </w:tcMar>
            <w:vAlign w:val="center"/>
          </w:tcPr>
          <w:p w14:paraId="195ACD5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Total value of revenue</w:t>
            </w:r>
          </w:p>
        </w:tc>
        <w:tc>
          <w:tcPr>
            <w:tcW w:w="918" w:type="pct"/>
            <w:shd w:val="clear" w:color="auto" w:fill="auto"/>
            <w:tcMar>
              <w:top w:w="0" w:type="dxa"/>
              <w:bottom w:w="0" w:type="dxa"/>
            </w:tcMar>
            <w:vAlign w:val="center"/>
          </w:tcPr>
          <w:p w14:paraId="4B83F54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1,204,887</w:t>
            </w:r>
          </w:p>
        </w:tc>
        <w:tc>
          <w:tcPr>
            <w:tcW w:w="867" w:type="pct"/>
            <w:shd w:val="clear" w:color="auto" w:fill="auto"/>
            <w:tcMar>
              <w:top w:w="0" w:type="dxa"/>
              <w:bottom w:w="0" w:type="dxa"/>
            </w:tcMar>
            <w:vAlign w:val="center"/>
          </w:tcPr>
          <w:p w14:paraId="2065252B"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1,760,081</w:t>
            </w:r>
          </w:p>
        </w:tc>
        <w:tc>
          <w:tcPr>
            <w:tcW w:w="918" w:type="pct"/>
            <w:shd w:val="clear" w:color="auto" w:fill="auto"/>
            <w:tcMar>
              <w:top w:w="0" w:type="dxa"/>
              <w:bottom w:w="0" w:type="dxa"/>
            </w:tcMar>
            <w:vAlign w:val="center"/>
          </w:tcPr>
          <w:p w14:paraId="634FB8F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146%</w:t>
            </w:r>
          </w:p>
        </w:tc>
      </w:tr>
      <w:tr w:rsidR="00A60A96" w:rsidRPr="001237A1" w14:paraId="73C52D91" w14:textId="77777777" w:rsidTr="005865AA">
        <w:tc>
          <w:tcPr>
            <w:tcW w:w="429" w:type="pct"/>
            <w:shd w:val="clear" w:color="auto" w:fill="auto"/>
            <w:tcMar>
              <w:top w:w="0" w:type="dxa"/>
              <w:bottom w:w="0" w:type="dxa"/>
            </w:tcMar>
            <w:vAlign w:val="center"/>
          </w:tcPr>
          <w:p w14:paraId="58AF32A9"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w:t>
            </w:r>
          </w:p>
        </w:tc>
        <w:tc>
          <w:tcPr>
            <w:tcW w:w="1867" w:type="pct"/>
            <w:shd w:val="clear" w:color="auto" w:fill="auto"/>
            <w:tcMar>
              <w:top w:w="0" w:type="dxa"/>
              <w:bottom w:w="0" w:type="dxa"/>
            </w:tcMar>
            <w:vAlign w:val="center"/>
          </w:tcPr>
          <w:p w14:paraId="5437606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Profit before tax</w:t>
            </w:r>
          </w:p>
        </w:tc>
        <w:tc>
          <w:tcPr>
            <w:tcW w:w="918" w:type="pct"/>
            <w:shd w:val="clear" w:color="auto" w:fill="auto"/>
            <w:tcMar>
              <w:top w:w="0" w:type="dxa"/>
              <w:bottom w:w="0" w:type="dxa"/>
            </w:tcMar>
            <w:vAlign w:val="center"/>
          </w:tcPr>
          <w:p w14:paraId="6B791AB0"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12,135</w:t>
            </w:r>
          </w:p>
        </w:tc>
        <w:tc>
          <w:tcPr>
            <w:tcW w:w="867" w:type="pct"/>
            <w:shd w:val="clear" w:color="auto" w:fill="auto"/>
            <w:tcMar>
              <w:top w:w="0" w:type="dxa"/>
              <w:bottom w:w="0" w:type="dxa"/>
            </w:tcMar>
            <w:vAlign w:val="center"/>
          </w:tcPr>
          <w:p w14:paraId="2001CDA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42,287</w:t>
            </w:r>
          </w:p>
        </w:tc>
        <w:tc>
          <w:tcPr>
            <w:tcW w:w="918" w:type="pct"/>
            <w:shd w:val="clear" w:color="auto" w:fill="auto"/>
            <w:tcMar>
              <w:top w:w="0" w:type="dxa"/>
              <w:bottom w:w="0" w:type="dxa"/>
            </w:tcMar>
            <w:vAlign w:val="center"/>
          </w:tcPr>
          <w:p w14:paraId="003B089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348%</w:t>
            </w:r>
          </w:p>
        </w:tc>
      </w:tr>
      <w:tr w:rsidR="00A60A96" w:rsidRPr="001237A1" w14:paraId="1ADACC8A" w14:textId="77777777" w:rsidTr="005865AA">
        <w:tc>
          <w:tcPr>
            <w:tcW w:w="429" w:type="pct"/>
            <w:shd w:val="clear" w:color="auto" w:fill="auto"/>
            <w:tcMar>
              <w:top w:w="0" w:type="dxa"/>
              <w:bottom w:w="0" w:type="dxa"/>
            </w:tcMar>
            <w:vAlign w:val="center"/>
          </w:tcPr>
          <w:p w14:paraId="6E72140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4</w:t>
            </w:r>
          </w:p>
        </w:tc>
        <w:tc>
          <w:tcPr>
            <w:tcW w:w="1867" w:type="pct"/>
            <w:shd w:val="clear" w:color="auto" w:fill="auto"/>
            <w:tcMar>
              <w:top w:w="0" w:type="dxa"/>
              <w:bottom w:w="0" w:type="dxa"/>
            </w:tcMar>
            <w:vAlign w:val="center"/>
          </w:tcPr>
          <w:p w14:paraId="29773E9D"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Profit after tax</w:t>
            </w:r>
          </w:p>
        </w:tc>
        <w:tc>
          <w:tcPr>
            <w:tcW w:w="918" w:type="pct"/>
            <w:shd w:val="clear" w:color="auto" w:fill="auto"/>
            <w:tcMar>
              <w:top w:w="0" w:type="dxa"/>
              <w:bottom w:w="0" w:type="dxa"/>
            </w:tcMar>
            <w:vAlign w:val="center"/>
          </w:tcPr>
          <w:p w14:paraId="5EA9E06E"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8,304</w:t>
            </w:r>
          </w:p>
        </w:tc>
        <w:tc>
          <w:tcPr>
            <w:tcW w:w="867" w:type="pct"/>
            <w:shd w:val="clear" w:color="auto" w:fill="auto"/>
            <w:tcMar>
              <w:top w:w="0" w:type="dxa"/>
              <w:bottom w:w="0" w:type="dxa"/>
            </w:tcMar>
            <w:vAlign w:val="center"/>
          </w:tcPr>
          <w:p w14:paraId="3613BC2B"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24,971</w:t>
            </w:r>
          </w:p>
        </w:tc>
        <w:tc>
          <w:tcPr>
            <w:tcW w:w="918" w:type="pct"/>
            <w:shd w:val="clear" w:color="auto" w:fill="auto"/>
            <w:tcMar>
              <w:top w:w="0" w:type="dxa"/>
              <w:bottom w:w="0" w:type="dxa"/>
            </w:tcMar>
            <w:vAlign w:val="center"/>
          </w:tcPr>
          <w:p w14:paraId="2E26A02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301%</w:t>
            </w:r>
          </w:p>
        </w:tc>
      </w:tr>
      <w:tr w:rsidR="00A60A96" w:rsidRPr="001237A1" w14:paraId="2FF25F2B" w14:textId="77777777" w:rsidTr="005865AA">
        <w:tc>
          <w:tcPr>
            <w:tcW w:w="429" w:type="pct"/>
            <w:shd w:val="clear" w:color="auto" w:fill="auto"/>
            <w:tcMar>
              <w:top w:w="0" w:type="dxa"/>
              <w:bottom w:w="0" w:type="dxa"/>
            </w:tcMar>
            <w:vAlign w:val="center"/>
          </w:tcPr>
          <w:p w14:paraId="56E591D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5</w:t>
            </w:r>
          </w:p>
        </w:tc>
        <w:tc>
          <w:tcPr>
            <w:tcW w:w="1867" w:type="pct"/>
            <w:shd w:val="clear" w:color="auto" w:fill="auto"/>
            <w:tcMar>
              <w:top w:w="0" w:type="dxa"/>
              <w:bottom w:w="0" w:type="dxa"/>
            </w:tcMar>
            <w:vAlign w:val="center"/>
          </w:tcPr>
          <w:p w14:paraId="4018B86D"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Dividend payment rate (calculated on charter capital of VND 240 billion)</w:t>
            </w:r>
          </w:p>
        </w:tc>
        <w:tc>
          <w:tcPr>
            <w:tcW w:w="918" w:type="pct"/>
            <w:shd w:val="clear" w:color="auto" w:fill="auto"/>
            <w:tcMar>
              <w:top w:w="0" w:type="dxa"/>
              <w:bottom w:w="0" w:type="dxa"/>
            </w:tcMar>
            <w:vAlign w:val="center"/>
          </w:tcPr>
          <w:p w14:paraId="0F6806D7"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3.5%</w:t>
            </w:r>
          </w:p>
        </w:tc>
        <w:tc>
          <w:tcPr>
            <w:tcW w:w="867" w:type="pct"/>
            <w:shd w:val="clear" w:color="auto" w:fill="auto"/>
            <w:tcMar>
              <w:top w:w="0" w:type="dxa"/>
              <w:bottom w:w="0" w:type="dxa"/>
            </w:tcMar>
            <w:vAlign w:val="center"/>
          </w:tcPr>
          <w:p w14:paraId="24DB2665"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10%</w:t>
            </w:r>
          </w:p>
        </w:tc>
        <w:tc>
          <w:tcPr>
            <w:tcW w:w="918" w:type="pct"/>
            <w:shd w:val="clear" w:color="auto" w:fill="auto"/>
            <w:tcMar>
              <w:top w:w="0" w:type="dxa"/>
              <w:bottom w:w="0" w:type="dxa"/>
            </w:tcMar>
            <w:vAlign w:val="center"/>
          </w:tcPr>
          <w:p w14:paraId="065CC4B1" w14:textId="77777777" w:rsidR="00A60A96" w:rsidRPr="001237A1" w:rsidRDefault="00C224CF" w:rsidP="005865AA">
            <w:pPr>
              <w:pBdr>
                <w:top w:val="nil"/>
                <w:left w:val="nil"/>
                <w:bottom w:val="nil"/>
                <w:right w:val="nil"/>
                <w:between w:val="nil"/>
              </w:pBdr>
              <w:tabs>
                <w:tab w:val="left" w:pos="360"/>
                <w:tab w:val="left" w:pos="630"/>
              </w:tabs>
              <w:spacing w:after="120" w:line="360" w:lineRule="auto"/>
              <w:rPr>
                <w:rFonts w:ascii="Arial" w:eastAsia="Arial" w:hAnsi="Arial" w:cs="Arial"/>
                <w:color w:val="010000"/>
                <w:sz w:val="20"/>
                <w:szCs w:val="20"/>
              </w:rPr>
            </w:pPr>
            <w:r w:rsidRPr="001237A1">
              <w:rPr>
                <w:rFonts w:ascii="Arial" w:hAnsi="Arial" w:cs="Arial"/>
                <w:color w:val="010000"/>
                <w:sz w:val="20"/>
              </w:rPr>
              <w:t>286%</w:t>
            </w:r>
          </w:p>
        </w:tc>
      </w:tr>
    </w:tbl>
    <w:p w14:paraId="0039B630"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2. Approve the Audited Financial Statements 2023 of </w:t>
      </w:r>
      <w:proofErr w:type="spellStart"/>
      <w:r w:rsidRPr="001237A1">
        <w:rPr>
          <w:rFonts w:ascii="Arial" w:hAnsi="Arial" w:cs="Arial"/>
          <w:color w:val="010000"/>
          <w:sz w:val="20"/>
        </w:rPr>
        <w:t>Vinaconex</w:t>
      </w:r>
      <w:proofErr w:type="spellEnd"/>
      <w:r w:rsidRPr="001237A1">
        <w:rPr>
          <w:rFonts w:ascii="Arial" w:hAnsi="Arial" w:cs="Arial"/>
          <w:color w:val="010000"/>
          <w:sz w:val="20"/>
        </w:rPr>
        <w:t xml:space="preserve"> 25 JSC according to Proposal No. 125TTr/2024/VC25-HDQT dated March 18, 2024.</w:t>
      </w:r>
    </w:p>
    <w:p w14:paraId="410F0071" w14:textId="0469A804"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3. Approve Report No. 126BC/2024/VC25-HDQT dated March 18, 2024 on operating results in 2023 and key tasks in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7790C0F2" w14:textId="3627D8B5"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4. Approve Report No. 127/BC/VC25-BKS dated March 18, </w:t>
      </w:r>
      <w:r w:rsidR="008132FE">
        <w:rPr>
          <w:rFonts w:ascii="Arial" w:hAnsi="Arial" w:cs="Arial"/>
          <w:color w:val="010000"/>
          <w:sz w:val="20"/>
        </w:rPr>
        <w:t>2024 by</w:t>
      </w:r>
      <w:r w:rsidRPr="001237A1">
        <w:rPr>
          <w:rFonts w:ascii="Arial" w:hAnsi="Arial" w:cs="Arial"/>
          <w:color w:val="010000"/>
          <w:sz w:val="20"/>
        </w:rPr>
        <w:t xml:space="preserve"> the Company's Supervisory Board at the Meeting.</w:t>
      </w:r>
    </w:p>
    <w:p w14:paraId="07470099"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5. Approve the selection of an independent audit company to audit of the Company's Financial </w:t>
      </w:r>
      <w:r w:rsidRPr="001237A1">
        <w:rPr>
          <w:rFonts w:ascii="Arial" w:hAnsi="Arial" w:cs="Arial"/>
          <w:color w:val="010000"/>
          <w:sz w:val="20"/>
        </w:rPr>
        <w:lastRenderedPageBreak/>
        <w:t xml:space="preserve">Statements 2024 </w:t>
      </w:r>
      <w:proofErr w:type="spellStart"/>
      <w:r w:rsidRPr="001237A1">
        <w:rPr>
          <w:rFonts w:ascii="Arial" w:hAnsi="Arial" w:cs="Arial"/>
          <w:color w:val="010000"/>
          <w:sz w:val="20"/>
        </w:rPr>
        <w:t>accroding</w:t>
      </w:r>
      <w:proofErr w:type="spellEnd"/>
      <w:r w:rsidRPr="001237A1">
        <w:rPr>
          <w:rFonts w:ascii="Arial" w:hAnsi="Arial" w:cs="Arial"/>
          <w:color w:val="010000"/>
          <w:sz w:val="20"/>
        </w:rPr>
        <w:t xml:space="preserve"> to Proposal No. 128TTr/2024/VC25-BKS dated March 18, 2024.</w:t>
      </w:r>
    </w:p>
    <w:p w14:paraId="49EEAAA6" w14:textId="7BEA4DB8"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6. Approve the profit after tax distribution plan in 2023 according to Proposal No. 129TTr/2024/VC25-HDQT dated March 18,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64157D91" w14:textId="77777777" w:rsidR="00A60A96" w:rsidRPr="001237A1" w:rsidRDefault="00C224CF" w:rsidP="008132FE">
      <w:pPr>
        <w:numPr>
          <w:ilvl w:val="0"/>
          <w:numId w:val="9"/>
        </w:numPr>
        <w:pBdr>
          <w:top w:val="nil"/>
          <w:left w:val="nil"/>
          <w:bottom w:val="nil"/>
          <w:right w:val="nil"/>
          <w:between w:val="nil"/>
        </w:pBdr>
        <w:tabs>
          <w:tab w:val="left" w:pos="360"/>
          <w:tab w:val="left" w:pos="630"/>
        </w:tabs>
        <w:spacing w:after="120" w:line="360" w:lineRule="auto"/>
        <w:jc w:val="both"/>
        <w:rPr>
          <w:rFonts w:ascii="Arial" w:hAnsi="Arial" w:cs="Arial"/>
          <w:color w:val="010000"/>
          <w:sz w:val="20"/>
          <w:szCs w:val="20"/>
        </w:rPr>
      </w:pPr>
      <w:r w:rsidRPr="001237A1">
        <w:rPr>
          <w:rFonts w:ascii="Arial" w:hAnsi="Arial" w:cs="Arial"/>
          <w:color w:val="010000"/>
          <w:sz w:val="20"/>
        </w:rPr>
        <w:t>Profit before tax in 2023: VND 11,984,114,091</w:t>
      </w:r>
    </w:p>
    <w:p w14:paraId="277F06A8" w14:textId="77777777" w:rsidR="00A60A96" w:rsidRPr="001237A1" w:rsidRDefault="00C224CF" w:rsidP="008132FE">
      <w:pPr>
        <w:numPr>
          <w:ilvl w:val="0"/>
          <w:numId w:val="9"/>
        </w:numPr>
        <w:pBdr>
          <w:top w:val="nil"/>
          <w:left w:val="nil"/>
          <w:bottom w:val="nil"/>
          <w:right w:val="nil"/>
          <w:between w:val="nil"/>
        </w:pBdr>
        <w:tabs>
          <w:tab w:val="left" w:pos="360"/>
          <w:tab w:val="left" w:pos="630"/>
        </w:tabs>
        <w:spacing w:after="120" w:line="360" w:lineRule="auto"/>
        <w:jc w:val="both"/>
        <w:rPr>
          <w:rFonts w:ascii="Arial" w:hAnsi="Arial" w:cs="Arial"/>
          <w:color w:val="010000"/>
          <w:sz w:val="20"/>
          <w:szCs w:val="20"/>
        </w:rPr>
      </w:pPr>
      <w:r w:rsidRPr="001237A1">
        <w:rPr>
          <w:rFonts w:ascii="Arial" w:hAnsi="Arial" w:cs="Arial"/>
          <w:color w:val="010000"/>
          <w:sz w:val="20"/>
        </w:rPr>
        <w:t>Undistributed profit: VND 9,389,516,518</w:t>
      </w:r>
    </w:p>
    <w:p w14:paraId="4F2F32D9"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In which: </w:t>
      </w:r>
    </w:p>
    <w:p w14:paraId="60BE842C" w14:textId="77777777" w:rsidR="00A60A96" w:rsidRPr="001237A1" w:rsidRDefault="00C224CF" w:rsidP="008132FE">
      <w:pPr>
        <w:numPr>
          <w:ilvl w:val="1"/>
          <w:numId w:val="1"/>
        </w:numPr>
        <w:pBdr>
          <w:top w:val="nil"/>
          <w:left w:val="nil"/>
          <w:bottom w:val="nil"/>
          <w:right w:val="nil"/>
          <w:between w:val="nil"/>
        </w:pBdr>
        <w:tabs>
          <w:tab w:val="left" w:pos="360"/>
          <w:tab w:val="left" w:pos="630"/>
        </w:tabs>
        <w:spacing w:after="120" w:line="360" w:lineRule="auto"/>
        <w:ind w:left="0" w:firstLine="0"/>
        <w:jc w:val="both"/>
        <w:rPr>
          <w:rFonts w:ascii="Arial" w:eastAsia="Arial" w:hAnsi="Arial" w:cs="Arial"/>
          <w:color w:val="010000"/>
          <w:sz w:val="20"/>
          <w:szCs w:val="20"/>
        </w:rPr>
      </w:pPr>
      <w:r w:rsidRPr="001237A1">
        <w:rPr>
          <w:rFonts w:ascii="Arial" w:hAnsi="Arial" w:cs="Arial"/>
          <w:color w:val="010000"/>
          <w:sz w:val="20"/>
        </w:rPr>
        <w:t xml:space="preserve"> Profits transferred from 2022: VND 1,085,000,637</w:t>
      </w:r>
    </w:p>
    <w:p w14:paraId="07E187EB" w14:textId="77777777" w:rsidR="00A60A96" w:rsidRPr="001237A1" w:rsidRDefault="00C224CF" w:rsidP="008132FE">
      <w:pPr>
        <w:numPr>
          <w:ilvl w:val="1"/>
          <w:numId w:val="9"/>
        </w:numPr>
        <w:pBdr>
          <w:top w:val="nil"/>
          <w:left w:val="nil"/>
          <w:bottom w:val="nil"/>
          <w:right w:val="nil"/>
          <w:between w:val="nil"/>
        </w:pBdr>
        <w:tabs>
          <w:tab w:val="left" w:pos="360"/>
          <w:tab w:val="left" w:pos="630"/>
          <w:tab w:val="left" w:pos="1977"/>
        </w:tabs>
        <w:spacing w:after="120" w:line="360" w:lineRule="auto"/>
        <w:jc w:val="both"/>
        <w:rPr>
          <w:rFonts w:ascii="Arial" w:hAnsi="Arial" w:cs="Arial"/>
          <w:color w:val="010000"/>
          <w:sz w:val="20"/>
          <w:szCs w:val="20"/>
        </w:rPr>
      </w:pPr>
      <w:r w:rsidRPr="001237A1">
        <w:rPr>
          <w:rFonts w:ascii="Arial" w:hAnsi="Arial" w:cs="Arial"/>
          <w:color w:val="010000"/>
          <w:sz w:val="20"/>
        </w:rPr>
        <w:t>Profit after tax in 2023: VND 8,304,515,881</w:t>
      </w:r>
    </w:p>
    <w:p w14:paraId="7228067A" w14:textId="77777777" w:rsidR="00A60A96" w:rsidRPr="001237A1" w:rsidRDefault="00C224CF" w:rsidP="008132FE">
      <w:pPr>
        <w:numPr>
          <w:ilvl w:val="0"/>
          <w:numId w:val="9"/>
        </w:numPr>
        <w:pBdr>
          <w:top w:val="nil"/>
          <w:left w:val="nil"/>
          <w:bottom w:val="nil"/>
          <w:right w:val="nil"/>
          <w:between w:val="nil"/>
        </w:pBdr>
        <w:tabs>
          <w:tab w:val="left" w:pos="360"/>
          <w:tab w:val="left" w:pos="630"/>
        </w:tabs>
        <w:spacing w:after="120" w:line="360" w:lineRule="auto"/>
        <w:jc w:val="both"/>
        <w:rPr>
          <w:rFonts w:ascii="Arial" w:hAnsi="Arial" w:cs="Arial"/>
          <w:color w:val="010000"/>
          <w:sz w:val="20"/>
          <w:szCs w:val="20"/>
        </w:rPr>
      </w:pPr>
      <w:r w:rsidRPr="001237A1">
        <w:rPr>
          <w:rFonts w:ascii="Arial" w:hAnsi="Arial" w:cs="Arial"/>
          <w:color w:val="010000"/>
          <w:sz w:val="20"/>
        </w:rPr>
        <w:t>Dividend payment of 3.5% to shareholders: VND 8,400,000,000</w:t>
      </w:r>
    </w:p>
    <w:p w14:paraId="048D7ACC" w14:textId="77777777" w:rsidR="00A60A96" w:rsidRPr="001237A1" w:rsidRDefault="00C224CF" w:rsidP="008132FE">
      <w:pPr>
        <w:numPr>
          <w:ilvl w:val="0"/>
          <w:numId w:val="9"/>
        </w:numPr>
        <w:pBdr>
          <w:top w:val="nil"/>
          <w:left w:val="nil"/>
          <w:bottom w:val="nil"/>
          <w:right w:val="nil"/>
          <w:between w:val="nil"/>
        </w:pBdr>
        <w:tabs>
          <w:tab w:val="left" w:pos="360"/>
          <w:tab w:val="left" w:pos="630"/>
        </w:tabs>
        <w:spacing w:after="120" w:line="360" w:lineRule="auto"/>
        <w:jc w:val="both"/>
        <w:rPr>
          <w:rFonts w:ascii="Arial" w:hAnsi="Arial" w:cs="Arial"/>
          <w:color w:val="010000"/>
          <w:sz w:val="20"/>
          <w:szCs w:val="20"/>
        </w:rPr>
      </w:pPr>
      <w:r w:rsidRPr="001237A1">
        <w:rPr>
          <w:rFonts w:ascii="Arial" w:hAnsi="Arial" w:cs="Arial"/>
          <w:color w:val="010000"/>
          <w:sz w:val="20"/>
        </w:rPr>
        <w:t>Appropriation for bonus and welfare fund: VND 0</w:t>
      </w:r>
    </w:p>
    <w:p w14:paraId="42AC9CFB" w14:textId="77777777" w:rsidR="00A60A96" w:rsidRPr="001237A1" w:rsidRDefault="00C224CF" w:rsidP="008132FE">
      <w:pPr>
        <w:numPr>
          <w:ilvl w:val="0"/>
          <w:numId w:val="9"/>
        </w:numPr>
        <w:pBdr>
          <w:top w:val="nil"/>
          <w:left w:val="nil"/>
          <w:bottom w:val="nil"/>
          <w:right w:val="nil"/>
          <w:between w:val="nil"/>
        </w:pBdr>
        <w:tabs>
          <w:tab w:val="left" w:pos="360"/>
          <w:tab w:val="left" w:pos="630"/>
        </w:tabs>
        <w:spacing w:after="120" w:line="360" w:lineRule="auto"/>
        <w:jc w:val="both"/>
        <w:rPr>
          <w:rFonts w:ascii="Arial" w:hAnsi="Arial" w:cs="Arial"/>
          <w:color w:val="010000"/>
          <w:sz w:val="20"/>
          <w:szCs w:val="20"/>
        </w:rPr>
      </w:pPr>
      <w:r w:rsidRPr="001237A1">
        <w:rPr>
          <w:rFonts w:ascii="Arial" w:hAnsi="Arial" w:cs="Arial"/>
          <w:color w:val="010000"/>
          <w:sz w:val="20"/>
        </w:rPr>
        <w:t>Remaining undistributed profit (2-3-4): VND 989,516,518</w:t>
      </w:r>
    </w:p>
    <w:p w14:paraId="730F1DDA" w14:textId="37DAB531"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7. Approve the plan on salary and remuneration for members of the Board of Directors and the Supervisory Board in 2023 and the 2024 Plan according to Proposal No. 130TTr/2023/VC25-HDQT dated March 18,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25F917C7" w14:textId="4E9BA96E"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8. Approve the transaction policy between the Company and Vietnam Construction </w:t>
      </w:r>
      <w:proofErr w:type="gramStart"/>
      <w:r w:rsidRPr="001237A1">
        <w:rPr>
          <w:rFonts w:ascii="Arial" w:hAnsi="Arial" w:cs="Arial"/>
          <w:color w:val="010000"/>
          <w:sz w:val="20"/>
        </w:rPr>
        <w:t>And</w:t>
      </w:r>
      <w:proofErr w:type="gramEnd"/>
      <w:r w:rsidRPr="001237A1">
        <w:rPr>
          <w:rFonts w:ascii="Arial" w:hAnsi="Arial" w:cs="Arial"/>
          <w:color w:val="010000"/>
          <w:sz w:val="20"/>
        </w:rPr>
        <w:t xml:space="preserve"> Import-Export Joint Stock Corporation and its subsidiaries and joint ventures in the same economic group/VINACONEX group according to Proposal No. 131TTr/2024A/C25-HDQT dated March 18</w:t>
      </w:r>
      <w:r w:rsidR="0048133E" w:rsidRPr="001237A1">
        <w:rPr>
          <w:rFonts w:ascii="Arial" w:hAnsi="Arial" w:cs="Arial"/>
          <w:color w:val="010000"/>
          <w:sz w:val="20"/>
        </w:rPr>
        <w:t>,</w:t>
      </w:r>
      <w:r w:rsidRPr="001237A1">
        <w:rPr>
          <w:rFonts w:ascii="Arial" w:hAnsi="Arial" w:cs="Arial"/>
          <w:color w:val="010000"/>
          <w:sz w:val="20"/>
        </w:rPr>
        <w:t xml:space="preserve">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6011F034" w14:textId="1059D2FE"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9. Approve authorizing the Board of Directors to approve adjustments to </w:t>
      </w:r>
      <w:proofErr w:type="spellStart"/>
      <w:r w:rsidRPr="001237A1">
        <w:rPr>
          <w:rFonts w:ascii="Arial" w:hAnsi="Arial" w:cs="Arial"/>
          <w:color w:val="010000"/>
          <w:sz w:val="20"/>
        </w:rPr>
        <w:t>Thien</w:t>
      </w:r>
      <w:proofErr w:type="spellEnd"/>
      <w:r w:rsidRPr="001237A1">
        <w:rPr>
          <w:rFonts w:ascii="Arial" w:hAnsi="Arial" w:cs="Arial"/>
          <w:color w:val="010000"/>
          <w:sz w:val="20"/>
        </w:rPr>
        <w:t xml:space="preserve"> </w:t>
      </w:r>
      <w:proofErr w:type="gramStart"/>
      <w:r w:rsidRPr="001237A1">
        <w:rPr>
          <w:rFonts w:ascii="Arial" w:hAnsi="Arial" w:cs="Arial"/>
          <w:color w:val="010000"/>
          <w:sz w:val="20"/>
        </w:rPr>
        <w:t>An</w:t>
      </w:r>
      <w:proofErr w:type="gramEnd"/>
      <w:r w:rsidRPr="001237A1">
        <w:rPr>
          <w:rFonts w:ascii="Arial" w:hAnsi="Arial" w:cs="Arial"/>
          <w:color w:val="010000"/>
          <w:sz w:val="20"/>
        </w:rPr>
        <w:t xml:space="preserve">, Ngan </w:t>
      </w:r>
      <w:proofErr w:type="spellStart"/>
      <w:r w:rsidRPr="001237A1">
        <w:rPr>
          <w:rFonts w:ascii="Arial" w:hAnsi="Arial" w:cs="Arial"/>
          <w:color w:val="010000"/>
          <w:sz w:val="20"/>
        </w:rPr>
        <w:t>Cau</w:t>
      </w:r>
      <w:proofErr w:type="spellEnd"/>
      <w:r w:rsidRPr="001237A1">
        <w:rPr>
          <w:rFonts w:ascii="Arial" w:hAnsi="Arial" w:cs="Arial"/>
          <w:color w:val="010000"/>
          <w:sz w:val="20"/>
        </w:rPr>
        <w:t xml:space="preserve"> Projects, Thuong Tin Industrial Complex Project, Nam Duong Industrial Complex Project according to Proposal No. 132TTr/2024/VC25-HDQT dated March 18</w:t>
      </w:r>
      <w:r w:rsidR="0048133E" w:rsidRPr="001237A1">
        <w:rPr>
          <w:rFonts w:ascii="Arial" w:hAnsi="Arial" w:cs="Arial"/>
          <w:color w:val="010000"/>
          <w:sz w:val="20"/>
        </w:rPr>
        <w:t xml:space="preserve">,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2B38DC99" w14:textId="5DA2E7D0"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‎‎Article 10. Approve the Report on the results of additional public offering to increase charter capital to VND 240 billion in 2023</w:t>
      </w:r>
      <w:r w:rsidR="0048133E" w:rsidRPr="001237A1">
        <w:rPr>
          <w:rFonts w:ascii="Arial" w:hAnsi="Arial" w:cs="Arial"/>
          <w:color w:val="010000"/>
          <w:sz w:val="20"/>
        </w:rPr>
        <w:t xml:space="preserve"> and adjusting the p</w:t>
      </w:r>
      <w:r w:rsidRPr="001237A1">
        <w:rPr>
          <w:rFonts w:ascii="Arial" w:hAnsi="Arial" w:cs="Arial"/>
          <w:color w:val="010000"/>
          <w:sz w:val="20"/>
        </w:rPr>
        <w:t>lan for using the proceeds from the offering according to Proposal No. 133TTr/2024/</w:t>
      </w:r>
      <w:proofErr w:type="spellStart"/>
      <w:r w:rsidRPr="001237A1">
        <w:rPr>
          <w:rFonts w:ascii="Arial" w:hAnsi="Arial" w:cs="Arial"/>
          <w:color w:val="010000"/>
          <w:sz w:val="20"/>
        </w:rPr>
        <w:t>TTr</w:t>
      </w:r>
      <w:proofErr w:type="spellEnd"/>
      <w:r w:rsidRPr="001237A1">
        <w:rPr>
          <w:rFonts w:ascii="Arial" w:hAnsi="Arial" w:cs="Arial"/>
          <w:color w:val="010000"/>
          <w:sz w:val="20"/>
        </w:rPr>
        <w:t xml:space="preserve">-HDQT March 18,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3F73AE07" w14:textId="77777777" w:rsidR="00A60A96" w:rsidRPr="001237A1" w:rsidRDefault="00C224CF" w:rsidP="008132FE">
      <w:pPr>
        <w:numPr>
          <w:ilvl w:val="0"/>
          <w:numId w:val="4"/>
        </w:numPr>
        <w:pBdr>
          <w:top w:val="nil"/>
          <w:left w:val="nil"/>
          <w:bottom w:val="nil"/>
          <w:right w:val="nil"/>
          <w:between w:val="nil"/>
        </w:pBdr>
        <w:tabs>
          <w:tab w:val="left" w:pos="360"/>
          <w:tab w:val="left" w:pos="1162"/>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Report on the results of additional public offering in 2023</w:t>
      </w:r>
    </w:p>
    <w:p w14:paraId="53E81137"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Pursuant to Annual General Mandate 2023 No. 01/2023/NQ-D</w:t>
      </w:r>
      <w:bookmarkStart w:id="0" w:name="_GoBack"/>
      <w:bookmarkEnd w:id="0"/>
      <w:r w:rsidRPr="001237A1">
        <w:rPr>
          <w:rFonts w:ascii="Arial" w:hAnsi="Arial" w:cs="Arial"/>
          <w:color w:val="010000"/>
          <w:sz w:val="20"/>
        </w:rPr>
        <w:t>HDCD dated March 29, 2023, the Board of Directors would like to report on the results of the additional public offering and the use of capital obtained from the offering as follows:</w:t>
      </w:r>
    </w:p>
    <w:p w14:paraId="08E9608C" w14:textId="77777777" w:rsidR="00A60A96" w:rsidRPr="001237A1" w:rsidRDefault="00C224CF" w:rsidP="008132FE">
      <w:pPr>
        <w:keepNext/>
        <w:numPr>
          <w:ilvl w:val="0"/>
          <w:numId w:val="2"/>
        </w:numPr>
        <w:pBdr>
          <w:top w:val="nil"/>
          <w:left w:val="nil"/>
          <w:bottom w:val="nil"/>
          <w:right w:val="nil"/>
          <w:between w:val="nil"/>
        </w:pBdr>
        <w:tabs>
          <w:tab w:val="left" w:pos="360"/>
          <w:tab w:val="left" w:pos="630"/>
          <w:tab w:val="left" w:pos="1162"/>
        </w:tabs>
        <w:spacing w:after="120" w:line="360" w:lineRule="auto"/>
        <w:jc w:val="both"/>
        <w:rPr>
          <w:rFonts w:ascii="Arial" w:hAnsi="Arial" w:cs="Arial"/>
          <w:color w:val="010000"/>
          <w:sz w:val="20"/>
          <w:szCs w:val="20"/>
        </w:rPr>
      </w:pPr>
      <w:r w:rsidRPr="001237A1">
        <w:rPr>
          <w:rFonts w:ascii="Arial" w:hAnsi="Arial" w:cs="Arial"/>
          <w:color w:val="010000"/>
          <w:sz w:val="20"/>
        </w:rPr>
        <w:t>Report on the results of additional public offering</w:t>
      </w:r>
    </w:p>
    <w:p w14:paraId="7C298E1B" w14:textId="77777777" w:rsidR="00A60A96" w:rsidRPr="001237A1" w:rsidRDefault="00C224CF" w:rsidP="008132FE">
      <w:pPr>
        <w:numPr>
          <w:ilvl w:val="0"/>
          <w:numId w:val="7"/>
        </w:numPr>
        <w:pBdr>
          <w:top w:val="nil"/>
          <w:left w:val="nil"/>
          <w:bottom w:val="nil"/>
          <w:right w:val="nil"/>
          <w:between w:val="nil"/>
        </w:pBdr>
        <w:tabs>
          <w:tab w:val="left" w:pos="360"/>
          <w:tab w:val="left" w:pos="630"/>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On June 26, 2023, the Company's Board of Directors promulgated Resolution No. 20/NQ/2023/VC25-HDQT on approving the implementation of the issuance plan to increase charter capital and the registration dossiers for offering and implementation of the necessary procedures for the issuance plan to increase charter capital according to General Mandate No. 01/2023/NQ-DHDCD.</w:t>
      </w:r>
    </w:p>
    <w:p w14:paraId="613DAB4D" w14:textId="77777777" w:rsidR="00A60A96" w:rsidRPr="001237A1" w:rsidRDefault="00C224CF" w:rsidP="008132FE">
      <w:pPr>
        <w:numPr>
          <w:ilvl w:val="0"/>
          <w:numId w:val="7"/>
        </w:numPr>
        <w:pBdr>
          <w:top w:val="nil"/>
          <w:left w:val="nil"/>
          <w:bottom w:val="nil"/>
          <w:right w:val="nil"/>
          <w:between w:val="nil"/>
        </w:pBdr>
        <w:tabs>
          <w:tab w:val="left" w:pos="360"/>
          <w:tab w:val="left" w:pos="630"/>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 xml:space="preserve">On September 5, 2023, the State Securities Commission issued Securities Offering Registration </w:t>
      </w:r>
      <w:r w:rsidRPr="001237A1">
        <w:rPr>
          <w:rFonts w:ascii="Arial" w:hAnsi="Arial" w:cs="Arial"/>
          <w:color w:val="010000"/>
          <w:sz w:val="20"/>
        </w:rPr>
        <w:lastRenderedPageBreak/>
        <w:t>Certificate No. 271/GCN-UBCK.</w:t>
      </w:r>
    </w:p>
    <w:p w14:paraId="15E18ECE" w14:textId="77777777" w:rsidR="00A60A96" w:rsidRPr="001237A1" w:rsidRDefault="00C224CF" w:rsidP="008132FE">
      <w:pPr>
        <w:numPr>
          <w:ilvl w:val="0"/>
          <w:numId w:val="7"/>
        </w:numPr>
        <w:pBdr>
          <w:top w:val="nil"/>
          <w:left w:val="nil"/>
          <w:bottom w:val="nil"/>
          <w:right w:val="nil"/>
          <w:between w:val="nil"/>
        </w:pBdr>
        <w:tabs>
          <w:tab w:val="left" w:pos="360"/>
          <w:tab w:val="left" w:pos="630"/>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September 26, 2023 is the record date for the list of shareholders to exercise the rights to buy additional issued shares.</w:t>
      </w:r>
    </w:p>
    <w:p w14:paraId="0930228C" w14:textId="77777777" w:rsidR="00A60A96" w:rsidRPr="001237A1" w:rsidRDefault="00C224CF" w:rsidP="008132FE">
      <w:pPr>
        <w:numPr>
          <w:ilvl w:val="0"/>
          <w:numId w:val="7"/>
        </w:numPr>
        <w:pBdr>
          <w:top w:val="nil"/>
          <w:left w:val="nil"/>
          <w:bottom w:val="nil"/>
          <w:right w:val="nil"/>
          <w:between w:val="nil"/>
        </w:pBdr>
        <w:tabs>
          <w:tab w:val="left" w:pos="360"/>
          <w:tab w:val="left" w:pos="630"/>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On November 17, 2023, the Board of Directors promulgated Resolution No. 36NQ/2023/VC25-HDQT on approving the issuance results to increase charter capital in 2023, with the offering results as follows:</w:t>
      </w:r>
    </w:p>
    <w:p w14:paraId="16AA00B2" w14:textId="45A2051E" w:rsidR="00A60A96" w:rsidRPr="001237A1" w:rsidRDefault="00C224CF" w:rsidP="008132FE">
      <w:pPr>
        <w:numPr>
          <w:ilvl w:val="0"/>
          <w:numId w:val="3"/>
        </w:numPr>
        <w:pBdr>
          <w:top w:val="nil"/>
          <w:left w:val="nil"/>
          <w:bottom w:val="nil"/>
          <w:right w:val="nil"/>
          <w:between w:val="nil"/>
        </w:pBdr>
        <w:tabs>
          <w:tab w:val="left" w:pos="360"/>
          <w:tab w:val="left" w:pos="630"/>
          <w:tab w:val="left" w:pos="1438"/>
        </w:tabs>
        <w:spacing w:after="120" w:line="360" w:lineRule="auto"/>
        <w:jc w:val="both"/>
        <w:rPr>
          <w:rFonts w:ascii="Arial" w:eastAsia="Arial" w:hAnsi="Arial" w:cs="Arial"/>
          <w:color w:val="010000"/>
          <w:sz w:val="20"/>
          <w:szCs w:val="20"/>
        </w:rPr>
      </w:pPr>
      <w:r w:rsidRPr="001237A1">
        <w:rPr>
          <w:rFonts w:ascii="Arial" w:hAnsi="Arial" w:cs="Arial"/>
          <w:color w:val="010000"/>
          <w:sz w:val="20"/>
        </w:rPr>
        <w:t>Total number of offered shares: 12,000,000 shares</w:t>
      </w:r>
    </w:p>
    <w:p w14:paraId="12E96A1C" w14:textId="77777777" w:rsidR="00A60A96" w:rsidRPr="001237A1" w:rsidRDefault="00C224CF" w:rsidP="008132FE">
      <w:pPr>
        <w:numPr>
          <w:ilvl w:val="0"/>
          <w:numId w:val="3"/>
        </w:numPr>
        <w:pBdr>
          <w:top w:val="nil"/>
          <w:left w:val="nil"/>
          <w:bottom w:val="nil"/>
          <w:right w:val="nil"/>
          <w:between w:val="nil"/>
        </w:pBdr>
        <w:tabs>
          <w:tab w:val="left" w:pos="360"/>
          <w:tab w:val="left" w:pos="630"/>
          <w:tab w:val="left" w:pos="1438"/>
        </w:tabs>
        <w:spacing w:after="120" w:line="360" w:lineRule="auto"/>
        <w:jc w:val="both"/>
        <w:rPr>
          <w:rFonts w:ascii="Arial" w:hAnsi="Arial" w:cs="Arial"/>
          <w:color w:val="010000"/>
          <w:sz w:val="20"/>
          <w:szCs w:val="20"/>
        </w:rPr>
      </w:pPr>
      <w:r w:rsidRPr="001237A1">
        <w:rPr>
          <w:rFonts w:ascii="Arial" w:hAnsi="Arial" w:cs="Arial"/>
          <w:color w:val="010000"/>
          <w:sz w:val="20"/>
        </w:rPr>
        <w:t>Total number of distributed shares: 12,000,000 shares</w:t>
      </w:r>
    </w:p>
    <w:p w14:paraId="1F98658D" w14:textId="77777777" w:rsidR="00A60A96" w:rsidRPr="001237A1" w:rsidRDefault="00C224CF" w:rsidP="008132FE">
      <w:pPr>
        <w:numPr>
          <w:ilvl w:val="0"/>
          <w:numId w:val="3"/>
        </w:numPr>
        <w:pBdr>
          <w:top w:val="nil"/>
          <w:left w:val="nil"/>
          <w:bottom w:val="nil"/>
          <w:right w:val="nil"/>
          <w:between w:val="nil"/>
        </w:pBdr>
        <w:tabs>
          <w:tab w:val="left" w:pos="360"/>
          <w:tab w:val="left" w:pos="630"/>
          <w:tab w:val="left" w:pos="1438"/>
        </w:tabs>
        <w:spacing w:after="120" w:line="360" w:lineRule="auto"/>
        <w:jc w:val="both"/>
        <w:rPr>
          <w:rFonts w:ascii="Arial" w:hAnsi="Arial" w:cs="Arial"/>
          <w:color w:val="010000"/>
          <w:sz w:val="20"/>
          <w:szCs w:val="20"/>
        </w:rPr>
      </w:pPr>
      <w:r w:rsidRPr="001237A1">
        <w:rPr>
          <w:rFonts w:ascii="Arial" w:hAnsi="Arial" w:cs="Arial"/>
          <w:color w:val="010000"/>
          <w:sz w:val="20"/>
        </w:rPr>
        <w:t>Total proceeds from the offering: VND 120,000,000,000.</w:t>
      </w:r>
    </w:p>
    <w:p w14:paraId="347CA099" w14:textId="77777777" w:rsidR="00A60A96" w:rsidRPr="001237A1" w:rsidRDefault="00C224CF" w:rsidP="008132FE">
      <w:pPr>
        <w:numPr>
          <w:ilvl w:val="0"/>
          <w:numId w:val="2"/>
        </w:numPr>
        <w:pBdr>
          <w:top w:val="nil"/>
          <w:left w:val="nil"/>
          <w:bottom w:val="nil"/>
          <w:right w:val="nil"/>
          <w:between w:val="nil"/>
        </w:pBdr>
        <w:tabs>
          <w:tab w:val="left" w:pos="360"/>
          <w:tab w:val="left" w:pos="630"/>
          <w:tab w:val="left" w:pos="1438"/>
        </w:tabs>
        <w:spacing w:after="120" w:line="360" w:lineRule="auto"/>
        <w:jc w:val="both"/>
        <w:rPr>
          <w:rFonts w:ascii="Arial" w:hAnsi="Arial" w:cs="Arial"/>
          <w:color w:val="010000"/>
          <w:sz w:val="20"/>
          <w:szCs w:val="20"/>
        </w:rPr>
      </w:pPr>
      <w:r w:rsidRPr="001237A1">
        <w:rPr>
          <w:rFonts w:ascii="Arial" w:hAnsi="Arial" w:cs="Arial"/>
          <w:color w:val="010000"/>
          <w:sz w:val="20"/>
        </w:rPr>
        <w:t>Report on the plan for using the proceeds from the offering:</w:t>
      </w:r>
    </w:p>
    <w:p w14:paraId="2C29E746" w14:textId="77777777" w:rsidR="00A60A96" w:rsidRPr="001237A1" w:rsidRDefault="00C224CF" w:rsidP="008132FE">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1237A1">
        <w:rPr>
          <w:rFonts w:ascii="Arial" w:hAnsi="Arial" w:cs="Arial"/>
          <w:color w:val="010000"/>
          <w:sz w:val="20"/>
        </w:rPr>
        <w:t>Pursuant to Official Dispatch No. 8109/UBCK-QLCB dated November 21, 2023 of the State Securities Commission on reporting on the results of VCC's additional public offering of additional shares, the Company has used the proceeds from the offering according to General Mandate No. 01/2023/NQ-DHDCD and Board Resolution No. 20 as follows:</w:t>
      </w:r>
    </w:p>
    <w:p w14:paraId="5E9A2C2A" w14:textId="77777777" w:rsidR="00A60A96" w:rsidRPr="001237A1" w:rsidRDefault="00C224CF" w:rsidP="008132FE">
      <w:pPr>
        <w:numPr>
          <w:ilvl w:val="0"/>
          <w:numId w:val="5"/>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1237A1">
        <w:rPr>
          <w:rFonts w:ascii="Arial" w:hAnsi="Arial" w:cs="Arial"/>
          <w:color w:val="010000"/>
          <w:sz w:val="20"/>
        </w:rPr>
        <w:t>Before November 21, 2023 (when the Company can use the proceeds from the offering), a number of bank loan agreements according to the plan for using capital obtained from the offering approved in Board Resolution No. 20 have matured and the Company used other capital sources to pay for VND 67,396,372,074, accounting for 56.16% of the proceeds from the offering.</w:t>
      </w:r>
    </w:p>
    <w:p w14:paraId="5B9D28E3" w14:textId="55134729" w:rsidR="00A60A96" w:rsidRPr="001237A1" w:rsidRDefault="00C224CF" w:rsidP="008132FE">
      <w:pPr>
        <w:numPr>
          <w:ilvl w:val="0"/>
          <w:numId w:val="5"/>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1237A1">
        <w:rPr>
          <w:rFonts w:ascii="Arial" w:hAnsi="Arial" w:cs="Arial"/>
          <w:color w:val="010000"/>
          <w:sz w:val="20"/>
        </w:rPr>
        <w:t>According to the provisions of Clause 2, Article 9 of Decree 155/2020/ND-CP, the Board of Directors is only allowed to change the plan for using the proceeds from the offering with a change value of less than 50% of the proceeds from the offering.</w:t>
      </w:r>
      <w:r w:rsidR="005865AA" w:rsidRPr="001237A1">
        <w:rPr>
          <w:rFonts w:ascii="Arial" w:hAnsi="Arial" w:cs="Arial"/>
          <w:color w:val="010000"/>
          <w:sz w:val="20"/>
        </w:rPr>
        <w:t xml:space="preserve"> </w:t>
      </w:r>
      <w:r w:rsidRPr="001237A1">
        <w:rPr>
          <w:rFonts w:ascii="Arial" w:hAnsi="Arial" w:cs="Arial"/>
          <w:color w:val="010000"/>
          <w:sz w:val="20"/>
        </w:rPr>
        <w:t xml:space="preserve">Therefore, within the scope authorized by the </w:t>
      </w:r>
      <w:r w:rsidR="008132FE">
        <w:rPr>
          <w:rFonts w:ascii="Arial" w:hAnsi="Arial" w:cs="Arial"/>
          <w:color w:val="010000"/>
          <w:sz w:val="20"/>
        </w:rPr>
        <w:t>General Meeting</w:t>
      </w:r>
      <w:r w:rsidRPr="001237A1">
        <w:rPr>
          <w:rFonts w:ascii="Arial" w:hAnsi="Arial" w:cs="Arial"/>
          <w:color w:val="010000"/>
          <w:sz w:val="20"/>
        </w:rPr>
        <w:t xml:space="preserve"> in General Mandate No. 01NQ/2023/VC25-DHDCD, on December 1, 2023, the Board of Directors promulgated Resolution No. 37NQ/2023/VC25-HDQT on adjusting plan for using proceeds from the offering. The amount of capital used to be changed compared to that in the original capital use plan approved in Board</w:t>
      </w:r>
      <w:r w:rsidR="0048133E" w:rsidRPr="001237A1">
        <w:rPr>
          <w:rFonts w:ascii="Arial" w:hAnsi="Arial" w:cs="Arial"/>
          <w:color w:val="010000"/>
          <w:sz w:val="20"/>
        </w:rPr>
        <w:t xml:space="preserve"> Resolution</w:t>
      </w:r>
      <w:r w:rsidRPr="001237A1">
        <w:rPr>
          <w:rFonts w:ascii="Arial" w:hAnsi="Arial" w:cs="Arial"/>
          <w:color w:val="010000"/>
          <w:sz w:val="20"/>
        </w:rPr>
        <w:t xml:space="preserve"> No. 20 is VND 59,143,594,249, accounting for 49.29% of the total proceeds from the offering (Resolution No. 37 is attached to this Proposal).</w:t>
      </w:r>
      <w:r w:rsidR="005865AA" w:rsidRPr="001237A1">
        <w:rPr>
          <w:rFonts w:ascii="Arial" w:hAnsi="Arial" w:cs="Arial"/>
          <w:color w:val="010000"/>
          <w:sz w:val="20"/>
        </w:rPr>
        <w:t xml:space="preserve"> </w:t>
      </w:r>
      <w:r w:rsidRPr="001237A1">
        <w:rPr>
          <w:rFonts w:ascii="Arial" w:hAnsi="Arial" w:cs="Arial"/>
          <w:color w:val="010000"/>
          <w:sz w:val="20"/>
        </w:rPr>
        <w:t xml:space="preserve">The remaining amount of VND 8,252,777,825 exceeds the authority of the Board of Directors. Therefore, the Board of Directors submits to the </w:t>
      </w:r>
      <w:r w:rsidR="008132FE">
        <w:rPr>
          <w:rFonts w:ascii="Arial" w:hAnsi="Arial" w:cs="Arial"/>
          <w:color w:val="010000"/>
          <w:sz w:val="20"/>
        </w:rPr>
        <w:t>General Meeting</w:t>
      </w:r>
      <w:r w:rsidRPr="001237A1">
        <w:rPr>
          <w:rFonts w:ascii="Arial" w:hAnsi="Arial" w:cs="Arial"/>
          <w:color w:val="010000"/>
          <w:sz w:val="20"/>
        </w:rPr>
        <w:t xml:space="preserve"> </w:t>
      </w:r>
      <w:r w:rsidR="000B3508" w:rsidRPr="001237A1">
        <w:rPr>
          <w:rFonts w:ascii="Arial" w:hAnsi="Arial" w:cs="Arial"/>
          <w:color w:val="010000"/>
          <w:sz w:val="20"/>
        </w:rPr>
        <w:t>to adjust</w:t>
      </w:r>
      <w:r w:rsidRPr="001237A1">
        <w:rPr>
          <w:rFonts w:ascii="Arial" w:hAnsi="Arial" w:cs="Arial"/>
          <w:color w:val="010000"/>
          <w:sz w:val="20"/>
        </w:rPr>
        <w:t xml:space="preserve"> the plan for using capital obtained from the offering.</w:t>
      </w:r>
    </w:p>
    <w:p w14:paraId="3736804E" w14:textId="77777777" w:rsidR="00A60A96" w:rsidRPr="001237A1" w:rsidRDefault="00C224CF" w:rsidP="008132FE">
      <w:pPr>
        <w:numPr>
          <w:ilvl w:val="0"/>
          <w:numId w:val="5"/>
        </w:numPr>
        <w:pBdr>
          <w:top w:val="nil"/>
          <w:left w:val="nil"/>
          <w:bottom w:val="nil"/>
          <w:right w:val="nil"/>
          <w:between w:val="nil"/>
        </w:pBdr>
        <w:tabs>
          <w:tab w:val="left" w:pos="360"/>
          <w:tab w:val="left" w:pos="630"/>
          <w:tab w:val="left" w:pos="1438"/>
        </w:tabs>
        <w:spacing w:after="120" w:line="360" w:lineRule="auto"/>
        <w:jc w:val="both"/>
        <w:rPr>
          <w:rFonts w:ascii="Arial" w:hAnsi="Arial" w:cs="Arial"/>
          <w:color w:val="010000"/>
          <w:sz w:val="20"/>
          <w:szCs w:val="20"/>
        </w:rPr>
      </w:pPr>
      <w:r w:rsidRPr="001237A1">
        <w:rPr>
          <w:rFonts w:ascii="Arial" w:hAnsi="Arial" w:cs="Arial"/>
          <w:color w:val="010000"/>
          <w:sz w:val="20"/>
        </w:rPr>
        <w:t>Total value the Company has paid for bank loan agreements due for repayment in 2023 and 2024 (adjusted according to Resolution No. 37): VND 111,747,222,175.</w:t>
      </w:r>
    </w:p>
    <w:p w14:paraId="40E50322" w14:textId="77777777" w:rsidR="00A60A96" w:rsidRPr="001237A1" w:rsidRDefault="00C224CF" w:rsidP="008132FE">
      <w:pPr>
        <w:numPr>
          <w:ilvl w:val="0"/>
          <w:numId w:val="4"/>
        </w:numPr>
        <w:pBdr>
          <w:top w:val="nil"/>
          <w:left w:val="nil"/>
          <w:bottom w:val="nil"/>
          <w:right w:val="nil"/>
          <w:between w:val="nil"/>
        </w:pBdr>
        <w:tabs>
          <w:tab w:val="left" w:pos="360"/>
          <w:tab w:val="left" w:pos="630"/>
          <w:tab w:val="left" w:pos="1438"/>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Adjusting the plan for using the proceeds from the offering in 2023</w:t>
      </w:r>
    </w:p>
    <w:p w14:paraId="2CB5FE2D" w14:textId="426B0D51" w:rsidR="00A60A96" w:rsidRPr="001237A1" w:rsidRDefault="00C224CF" w:rsidP="008132FE">
      <w:pPr>
        <w:numPr>
          <w:ilvl w:val="0"/>
          <w:numId w:val="6"/>
        </w:numPr>
        <w:pBdr>
          <w:top w:val="nil"/>
          <w:left w:val="nil"/>
          <w:bottom w:val="nil"/>
          <w:right w:val="nil"/>
          <w:between w:val="nil"/>
        </w:pBdr>
        <w:tabs>
          <w:tab w:val="left" w:pos="360"/>
          <w:tab w:val="left" w:pos="630"/>
          <w:tab w:val="left" w:pos="1207"/>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 xml:space="preserve">Plan for using capital/proceeds from the offering/issuance previously approved by the Annual </w:t>
      </w:r>
      <w:r w:rsidR="008132FE">
        <w:rPr>
          <w:rFonts w:ascii="Arial" w:hAnsi="Arial" w:cs="Arial"/>
          <w:color w:val="010000"/>
          <w:sz w:val="20"/>
        </w:rPr>
        <w:t>General Meeting</w:t>
      </w:r>
      <w:r w:rsidRPr="001237A1">
        <w:rPr>
          <w:rFonts w:ascii="Arial" w:hAnsi="Arial" w:cs="Arial"/>
          <w:color w:val="010000"/>
          <w:sz w:val="20"/>
        </w:rPr>
        <w:t xml:space="preserve"> 2023:</w:t>
      </w:r>
    </w:p>
    <w:p w14:paraId="5CE4E17B"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According to General Mandate No. 01/2023/NQ-DHDCD on approving the share issuance plan to increase charter capital to VND 240 billion (attached to Proposal 176TTr/2023/</w:t>
      </w:r>
      <w:proofErr w:type="spellStart"/>
      <w:r w:rsidRPr="001237A1">
        <w:rPr>
          <w:rFonts w:ascii="Arial" w:hAnsi="Arial" w:cs="Arial"/>
          <w:color w:val="010000"/>
          <w:sz w:val="20"/>
        </w:rPr>
        <w:t>TTr</w:t>
      </w:r>
      <w:proofErr w:type="spellEnd"/>
      <w:r w:rsidRPr="001237A1">
        <w:rPr>
          <w:rFonts w:ascii="Arial" w:hAnsi="Arial" w:cs="Arial"/>
          <w:color w:val="010000"/>
          <w:sz w:val="20"/>
        </w:rPr>
        <w:t xml:space="preserve">-HDQT dated March 16, 2023 of the Board of Directors of </w:t>
      </w:r>
      <w:proofErr w:type="spellStart"/>
      <w:r w:rsidRPr="001237A1">
        <w:rPr>
          <w:rFonts w:ascii="Arial" w:hAnsi="Arial" w:cs="Arial"/>
          <w:color w:val="010000"/>
          <w:sz w:val="20"/>
        </w:rPr>
        <w:t>Vinaconex</w:t>
      </w:r>
      <w:proofErr w:type="spellEnd"/>
      <w:r w:rsidRPr="001237A1">
        <w:rPr>
          <w:rFonts w:ascii="Arial" w:hAnsi="Arial" w:cs="Arial"/>
          <w:color w:val="010000"/>
          <w:sz w:val="20"/>
        </w:rPr>
        <w:t xml:space="preserve"> 25 JSC), the expected proceeds from the issuance are </w:t>
      </w:r>
      <w:r w:rsidRPr="001237A1">
        <w:rPr>
          <w:rFonts w:ascii="Arial" w:hAnsi="Arial" w:cs="Arial"/>
          <w:color w:val="010000"/>
          <w:sz w:val="20"/>
        </w:rPr>
        <w:lastRenderedPageBreak/>
        <w:t>VND 120,000,000,000, which will be used to supplement working capital to serve production and business activities, specifically: Payment of bank loan agreements due in 2023.</w:t>
      </w:r>
    </w:p>
    <w:p w14:paraId="53AB236B" w14:textId="07F7FC0E" w:rsidR="00A60A96" w:rsidRPr="001237A1" w:rsidRDefault="00C224CF" w:rsidP="008132FE">
      <w:pPr>
        <w:keepNext/>
        <w:numPr>
          <w:ilvl w:val="0"/>
          <w:numId w:val="6"/>
        </w:numPr>
        <w:pBdr>
          <w:top w:val="nil"/>
          <w:left w:val="nil"/>
          <w:bottom w:val="nil"/>
          <w:right w:val="nil"/>
          <w:between w:val="nil"/>
        </w:pBdr>
        <w:tabs>
          <w:tab w:val="left" w:pos="360"/>
          <w:tab w:val="left" w:pos="630"/>
          <w:tab w:val="left" w:pos="1075"/>
        </w:tabs>
        <w:spacing w:after="120" w:line="360" w:lineRule="auto"/>
        <w:ind w:left="0" w:firstLine="0"/>
        <w:jc w:val="both"/>
        <w:rPr>
          <w:rFonts w:ascii="Arial" w:hAnsi="Arial" w:cs="Arial"/>
          <w:color w:val="010000"/>
          <w:sz w:val="20"/>
          <w:szCs w:val="20"/>
        </w:rPr>
      </w:pPr>
      <w:r w:rsidRPr="001237A1">
        <w:rPr>
          <w:rFonts w:ascii="Arial" w:hAnsi="Arial" w:cs="Arial"/>
          <w:color w:val="010000"/>
          <w:sz w:val="20"/>
        </w:rPr>
        <w:t xml:space="preserve">Plan for using capital/proceeds from the offering/issuance adjusted at the Annual </w:t>
      </w:r>
      <w:r w:rsidR="008132FE">
        <w:rPr>
          <w:rFonts w:ascii="Arial" w:hAnsi="Arial" w:cs="Arial"/>
          <w:color w:val="010000"/>
          <w:sz w:val="20"/>
        </w:rPr>
        <w:t>General Meeting</w:t>
      </w:r>
      <w:r w:rsidRPr="001237A1">
        <w:rPr>
          <w:rFonts w:ascii="Arial" w:hAnsi="Arial" w:cs="Arial"/>
          <w:color w:val="010000"/>
          <w:sz w:val="20"/>
        </w:rPr>
        <w:t xml:space="preserve"> 2024:</w:t>
      </w:r>
    </w:p>
    <w:p w14:paraId="677AA3C0" w14:textId="7C68DF88"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The Board of Directors submits to the Annual </w:t>
      </w:r>
      <w:r w:rsidR="008132FE">
        <w:rPr>
          <w:rFonts w:ascii="Arial" w:hAnsi="Arial" w:cs="Arial"/>
          <w:color w:val="010000"/>
          <w:sz w:val="20"/>
        </w:rPr>
        <w:t>General Meeting</w:t>
      </w:r>
      <w:r w:rsidRPr="001237A1">
        <w:rPr>
          <w:rFonts w:ascii="Arial" w:hAnsi="Arial" w:cs="Arial"/>
          <w:color w:val="010000"/>
          <w:sz w:val="20"/>
        </w:rPr>
        <w:t xml:space="preserve"> 2024 to approve the adjustment of the plan for using the expected proceeds from the additional share offering to increase charter capital to VND 240 billion as follows:</w:t>
      </w:r>
    </w:p>
    <w:p w14:paraId="66E8DB75" w14:textId="5FB4FD4E" w:rsidR="00A60A96" w:rsidRPr="001237A1" w:rsidRDefault="00C224CF" w:rsidP="008132FE">
      <w:pPr>
        <w:pBdr>
          <w:top w:val="nil"/>
          <w:left w:val="nil"/>
          <w:bottom w:val="nil"/>
          <w:right w:val="nil"/>
          <w:between w:val="nil"/>
        </w:pBdr>
        <w:tabs>
          <w:tab w:val="left" w:pos="360"/>
          <w:tab w:val="left" w:pos="630"/>
          <w:tab w:val="left" w:pos="9387"/>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The expected proceeds from the issuance </w:t>
      </w:r>
      <w:r w:rsidR="000B3508" w:rsidRPr="001237A1">
        <w:rPr>
          <w:rFonts w:ascii="Arial" w:hAnsi="Arial" w:cs="Arial"/>
          <w:color w:val="010000"/>
          <w:sz w:val="20"/>
        </w:rPr>
        <w:t>are</w:t>
      </w:r>
      <w:r w:rsidRPr="001237A1">
        <w:rPr>
          <w:rFonts w:ascii="Arial" w:hAnsi="Arial" w:cs="Arial"/>
          <w:color w:val="010000"/>
          <w:sz w:val="20"/>
        </w:rPr>
        <w:t xml:space="preserve"> VND 120,000,000,000 and will be used to supplement working capital to serve production and business activities, specifically: </w:t>
      </w:r>
    </w:p>
    <w:p w14:paraId="0E380820" w14:textId="77777777" w:rsidR="00A60A96" w:rsidRPr="001237A1" w:rsidRDefault="00C224CF" w:rsidP="008132FE">
      <w:pPr>
        <w:pBdr>
          <w:top w:val="nil"/>
          <w:left w:val="nil"/>
          <w:bottom w:val="nil"/>
          <w:right w:val="nil"/>
          <w:between w:val="nil"/>
        </w:pBdr>
        <w:tabs>
          <w:tab w:val="left" w:pos="360"/>
          <w:tab w:val="left" w:pos="630"/>
          <w:tab w:val="left" w:pos="9387"/>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Payment of specific Credit Contracts and Acknowledgments of Debt (referred to as "Bank Loan Agreements") due in 2023: VND 58,619,674,734 </w:t>
      </w:r>
    </w:p>
    <w:p w14:paraId="169C6754"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Payment of specific Credit Contracts and Acknowledgments of Debt due in 2023: VND 61,380,325,266 </w:t>
      </w:r>
    </w:p>
    <w:p w14:paraId="0934C1BC" w14:textId="26C5E005"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‎‎Article 11. Approve changing the Company's business lines according to Proposal No. 134TTr/2024/VC25-HDQT dated March 18, </w:t>
      </w:r>
      <w:r w:rsidR="008132FE">
        <w:rPr>
          <w:rFonts w:ascii="Arial" w:hAnsi="Arial" w:cs="Arial"/>
          <w:color w:val="010000"/>
          <w:sz w:val="20"/>
        </w:rPr>
        <w:t>2024 by</w:t>
      </w:r>
      <w:r w:rsidRPr="001237A1">
        <w:rPr>
          <w:rFonts w:ascii="Arial" w:hAnsi="Arial" w:cs="Arial"/>
          <w:color w:val="010000"/>
          <w:sz w:val="20"/>
        </w:rPr>
        <w:t xml:space="preserve"> the Board of Directors.</w:t>
      </w:r>
    </w:p>
    <w:p w14:paraId="47F8EFF6"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‎‎Article 12. Terms of enforcement</w:t>
      </w:r>
    </w:p>
    <w:p w14:paraId="341A7FB8" w14:textId="77777777"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This General mandate takes effect from March 30, 2024.</w:t>
      </w:r>
    </w:p>
    <w:p w14:paraId="77A27707" w14:textId="054477CC" w:rsidR="00A60A96" w:rsidRPr="001237A1" w:rsidRDefault="00C224CF" w:rsidP="008132FE">
      <w:pPr>
        <w:pBdr>
          <w:top w:val="nil"/>
          <w:left w:val="nil"/>
          <w:bottom w:val="nil"/>
          <w:right w:val="nil"/>
          <w:between w:val="nil"/>
        </w:pBdr>
        <w:tabs>
          <w:tab w:val="left" w:pos="360"/>
          <w:tab w:val="left" w:pos="630"/>
        </w:tabs>
        <w:spacing w:after="120" w:line="360" w:lineRule="auto"/>
        <w:jc w:val="both"/>
        <w:rPr>
          <w:rFonts w:ascii="Arial" w:eastAsia="Arial" w:hAnsi="Arial" w:cs="Arial"/>
          <w:color w:val="010000"/>
          <w:sz w:val="20"/>
          <w:szCs w:val="20"/>
        </w:rPr>
      </w:pPr>
      <w:r w:rsidRPr="001237A1">
        <w:rPr>
          <w:rFonts w:ascii="Arial" w:hAnsi="Arial" w:cs="Arial"/>
          <w:color w:val="010000"/>
          <w:sz w:val="20"/>
        </w:rPr>
        <w:t xml:space="preserve">The </w:t>
      </w:r>
      <w:r w:rsidR="008132FE">
        <w:rPr>
          <w:rFonts w:ascii="Arial" w:hAnsi="Arial" w:cs="Arial"/>
          <w:color w:val="010000"/>
          <w:sz w:val="20"/>
        </w:rPr>
        <w:t>General Meeting</w:t>
      </w:r>
      <w:r w:rsidRPr="001237A1">
        <w:rPr>
          <w:rFonts w:ascii="Arial" w:hAnsi="Arial" w:cs="Arial"/>
          <w:color w:val="010000"/>
          <w:sz w:val="20"/>
        </w:rPr>
        <w:t xml:space="preserve"> assigns the Board of Directors, </w:t>
      </w:r>
      <w:r w:rsidR="008132FE">
        <w:rPr>
          <w:rFonts w:ascii="Arial" w:hAnsi="Arial" w:cs="Arial"/>
          <w:color w:val="010000"/>
          <w:sz w:val="20"/>
        </w:rPr>
        <w:t>Executive Board,</w:t>
      </w:r>
      <w:r w:rsidRPr="001237A1">
        <w:rPr>
          <w:rFonts w:ascii="Arial" w:hAnsi="Arial" w:cs="Arial"/>
          <w:color w:val="010000"/>
          <w:sz w:val="20"/>
        </w:rPr>
        <w:t xml:space="preserve"> Supervisory Board of the Company to organize the implementation of the contents approved at the General Meeting, on the basis of ensuring the interests o</w:t>
      </w:r>
      <w:r w:rsidR="008132FE">
        <w:rPr>
          <w:rFonts w:ascii="Arial" w:hAnsi="Arial" w:cs="Arial"/>
          <w:color w:val="010000"/>
          <w:sz w:val="20"/>
        </w:rPr>
        <w:t xml:space="preserve">f the Company and shareholders under </w:t>
      </w:r>
      <w:r w:rsidRPr="001237A1">
        <w:rPr>
          <w:rFonts w:ascii="Arial" w:hAnsi="Arial" w:cs="Arial"/>
          <w:color w:val="010000"/>
          <w:sz w:val="20"/>
        </w:rPr>
        <w:t>the Charter of Company on organization and operation</w:t>
      </w:r>
      <w:r w:rsidR="008132FE">
        <w:rPr>
          <w:rFonts w:ascii="Arial" w:hAnsi="Arial" w:cs="Arial"/>
          <w:color w:val="010000"/>
          <w:sz w:val="20"/>
        </w:rPr>
        <w:t>s</w:t>
      </w:r>
      <w:r w:rsidRPr="001237A1">
        <w:rPr>
          <w:rFonts w:ascii="Arial" w:hAnsi="Arial" w:cs="Arial"/>
          <w:color w:val="010000"/>
          <w:sz w:val="20"/>
        </w:rPr>
        <w:t xml:space="preserve"> and </w:t>
      </w:r>
      <w:r w:rsidR="008132FE">
        <w:rPr>
          <w:rFonts w:ascii="Arial" w:hAnsi="Arial" w:cs="Arial"/>
          <w:color w:val="010000"/>
          <w:sz w:val="20"/>
        </w:rPr>
        <w:t>applicable laws</w:t>
      </w:r>
      <w:r w:rsidRPr="001237A1">
        <w:rPr>
          <w:rFonts w:ascii="Arial" w:hAnsi="Arial" w:cs="Arial"/>
          <w:color w:val="010000"/>
          <w:sz w:val="20"/>
        </w:rPr>
        <w:t>.</w:t>
      </w:r>
    </w:p>
    <w:sectPr w:rsidR="00A60A96" w:rsidRPr="001237A1" w:rsidSect="005865A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E68"/>
    <w:multiLevelType w:val="multilevel"/>
    <w:tmpl w:val="70DAC63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2"/>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EA58B5"/>
    <w:multiLevelType w:val="multilevel"/>
    <w:tmpl w:val="5E043D62"/>
    <w:lvl w:ilvl="0">
      <w:start w:val="1"/>
      <w:numFmt w:val="decimal"/>
      <w:lvlText w:val="%1."/>
      <w:lvlJc w:val="left"/>
      <w:pPr>
        <w:ind w:left="720" w:hanging="360"/>
      </w:pPr>
      <w:rPr>
        <w:rFonts w:ascii="Arial" w:eastAsia="Arial" w:hAnsi="Arial" w:cs="Arial"/>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92B61"/>
    <w:multiLevelType w:val="multilevel"/>
    <w:tmpl w:val="D97C25B2"/>
    <w:lvl w:ilvl="0">
      <w:start w:val="1"/>
      <w:numFmt w:val="decimal"/>
      <w:lvlText w:val="%1."/>
      <w:lvlJc w:val="left"/>
      <w:pPr>
        <w:ind w:left="360" w:hanging="360"/>
      </w:pPr>
      <w:rPr>
        <w:b w:val="0"/>
        <w:i w:val="0"/>
        <w:sz w:val="20"/>
      </w:rPr>
    </w:lvl>
    <w:lvl w:ilvl="1">
      <w:start w:val="1"/>
      <w:numFmt w:val="decimal"/>
      <w:lvlText w:val="%1.%2."/>
      <w:lvlJc w:val="left"/>
      <w:pPr>
        <w:ind w:left="360" w:hanging="360"/>
      </w:pPr>
      <w:rPr>
        <w:b w:val="0"/>
        <w:i w:val="0"/>
        <w:sz w:val="20"/>
      </w:rPr>
    </w:lvl>
    <w:lvl w:ilvl="2">
      <w:start w:val="1"/>
      <w:numFmt w:val="decimal"/>
      <w:lvlText w:val="%1.%2.%3."/>
      <w:lvlJc w:val="left"/>
      <w:pPr>
        <w:ind w:left="720" w:hanging="720"/>
      </w:pPr>
      <w:rPr>
        <w:b w:val="0"/>
        <w:i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77D26EA"/>
    <w:multiLevelType w:val="multilevel"/>
    <w:tmpl w:val="5152208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B0E494B"/>
    <w:multiLevelType w:val="multilevel"/>
    <w:tmpl w:val="F34C4F2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79827A7"/>
    <w:multiLevelType w:val="multilevel"/>
    <w:tmpl w:val="CC682A3A"/>
    <w:lvl w:ilvl="0">
      <w:start w:val="1"/>
      <w:numFmt w:val="upperRoman"/>
      <w:lvlText w:val="%1."/>
      <w:lvlJc w:val="left"/>
      <w:pPr>
        <w:ind w:left="1080" w:hanging="720"/>
      </w:pPr>
      <w:rPr>
        <w:rFonts w:ascii="Arial" w:eastAsia="Arial" w:hAnsi="Arial" w:cs="Arial"/>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BE4812"/>
    <w:multiLevelType w:val="multilevel"/>
    <w:tmpl w:val="50C6143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E2F52EB"/>
    <w:multiLevelType w:val="multilevel"/>
    <w:tmpl w:val="3D42755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107B7F"/>
    <w:multiLevelType w:val="multilevel"/>
    <w:tmpl w:val="F480987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4"/>
  </w:num>
  <w:num w:numId="3">
    <w:abstractNumId w:val="8"/>
  </w:num>
  <w:num w:numId="4">
    <w:abstractNumId w:val="5"/>
  </w:num>
  <w:num w:numId="5">
    <w:abstractNumId w:val="3"/>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96"/>
    <w:rsid w:val="000B3508"/>
    <w:rsid w:val="001237A1"/>
    <w:rsid w:val="0048133E"/>
    <w:rsid w:val="005800CC"/>
    <w:rsid w:val="005865AA"/>
    <w:rsid w:val="008132FE"/>
    <w:rsid w:val="00A60A96"/>
    <w:rsid w:val="00C224C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78F2F"/>
  <w15:docId w15:val="{8B1E1CF6-3C1B-4D1C-8871-E4C903CE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Arial" w:eastAsia="Arial" w:hAnsi="Arial" w:cs="Arial"/>
      <w:b w:val="0"/>
      <w:bCs w:val="0"/>
      <w:i/>
      <w:iCs/>
      <w:smallCaps w:val="0"/>
      <w:strike w:val="0"/>
      <w:sz w:val="22"/>
      <w:szCs w:val="22"/>
      <w:u w:val="none"/>
    </w:rPr>
  </w:style>
  <w:style w:type="character" w:customStyle="1" w:styleId="Heading20">
    <w:name w:val="Heading #2_"/>
    <w:basedOn w:val="DefaultParagraphFont"/>
    <w:link w:val="Heading21"/>
    <w:rPr>
      <w:rFonts w:ascii="Arial" w:eastAsia="Arial" w:hAnsi="Arial" w:cs="Arial"/>
      <w:b/>
      <w:bCs/>
      <w:i w:val="0"/>
      <w:iCs w:val="0"/>
      <w:smallCaps w:val="0"/>
      <w:strike w:val="0"/>
      <w:sz w:val="26"/>
      <w:szCs w:val="26"/>
      <w:u w:val="none"/>
    </w:rPr>
  </w:style>
  <w:style w:type="character" w:customStyle="1" w:styleId="Heading30">
    <w:name w:val="Heading #3_"/>
    <w:basedOn w:val="DefaultParagraphFont"/>
    <w:link w:val="Heading31"/>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rPr>
  </w:style>
  <w:style w:type="character" w:customStyle="1" w:styleId="Other">
    <w:name w:val="Other_"/>
    <w:basedOn w:val="DefaultParagraphFont"/>
    <w:link w:val="Other0"/>
    <w:rPr>
      <w:rFonts w:ascii="Arial" w:eastAsia="Arial" w:hAnsi="Arial" w:cs="Arial"/>
      <w:b w:val="0"/>
      <w:bCs w:val="0"/>
      <w:i/>
      <w:iCs/>
      <w:smallCaps w:val="0"/>
      <w:strike w:val="0"/>
      <w:sz w:val="22"/>
      <w:szCs w:val="22"/>
      <w:u w:val="none"/>
    </w:rPr>
  </w:style>
  <w:style w:type="character" w:customStyle="1" w:styleId="Tablecaption">
    <w:name w:val="Table caption_"/>
    <w:basedOn w:val="DefaultParagraphFont"/>
    <w:link w:val="Tablecaption0"/>
    <w:rPr>
      <w:rFonts w:ascii="Arial" w:eastAsia="Arial" w:hAnsi="Arial" w:cs="Arial"/>
      <w:b/>
      <w:bCs/>
      <w:i w:val="0"/>
      <w:iCs w:val="0"/>
      <w:smallCaps w:val="0"/>
      <w:strike w:val="0"/>
      <w:sz w:val="22"/>
      <w:szCs w:val="22"/>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7077BB"/>
      <w:sz w:val="36"/>
      <w:szCs w:val="36"/>
      <w:u w:val="none"/>
    </w:rPr>
  </w:style>
  <w:style w:type="character" w:customStyle="1" w:styleId="Bodytext3">
    <w:name w:val="Body text (3)_"/>
    <w:basedOn w:val="DefaultParagraphFont"/>
    <w:link w:val="Bodytext30"/>
    <w:rPr>
      <w:rFonts w:ascii="Arial" w:eastAsia="Arial" w:hAnsi="Arial" w:cs="Arial"/>
      <w:b w:val="0"/>
      <w:bCs w:val="0"/>
      <w:i/>
      <w:iCs/>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FD5E69"/>
      <w:w w:val="80"/>
      <w:sz w:val="22"/>
      <w:szCs w:val="22"/>
      <w:u w:val="none"/>
    </w:rPr>
  </w:style>
  <w:style w:type="paragraph" w:styleId="BodyText">
    <w:name w:val="Body Text"/>
    <w:basedOn w:val="Normal"/>
    <w:link w:val="BodyTextChar"/>
    <w:qFormat/>
    <w:pPr>
      <w:spacing w:line="271" w:lineRule="auto"/>
    </w:pPr>
    <w:rPr>
      <w:rFonts w:ascii="Arial" w:eastAsia="Arial" w:hAnsi="Arial" w:cs="Arial"/>
      <w:i/>
      <w:iCs/>
      <w:sz w:val="22"/>
      <w:szCs w:val="22"/>
    </w:rPr>
  </w:style>
  <w:style w:type="paragraph" w:customStyle="1" w:styleId="Heading21">
    <w:name w:val="Heading #2"/>
    <w:basedOn w:val="Normal"/>
    <w:link w:val="Heading20"/>
    <w:pPr>
      <w:jc w:val="center"/>
      <w:outlineLvl w:val="1"/>
    </w:pPr>
    <w:rPr>
      <w:rFonts w:ascii="Arial" w:eastAsia="Arial" w:hAnsi="Arial" w:cs="Arial"/>
      <w:b/>
      <w:bCs/>
      <w:sz w:val="26"/>
      <w:szCs w:val="26"/>
    </w:rPr>
  </w:style>
  <w:style w:type="paragraph" w:customStyle="1" w:styleId="Heading31">
    <w:name w:val="Heading #3"/>
    <w:basedOn w:val="Normal"/>
    <w:link w:val="Heading30"/>
    <w:pPr>
      <w:spacing w:line="271" w:lineRule="auto"/>
      <w:outlineLvl w:val="2"/>
    </w:pPr>
    <w:rPr>
      <w:rFonts w:ascii="Arial" w:eastAsia="Arial" w:hAnsi="Arial" w:cs="Arial"/>
      <w:b/>
      <w:bCs/>
      <w:sz w:val="22"/>
      <w:szCs w:val="22"/>
    </w:rPr>
  </w:style>
  <w:style w:type="paragraph" w:customStyle="1" w:styleId="Bodytext20">
    <w:name w:val="Body text (2)"/>
    <w:basedOn w:val="Normal"/>
    <w:link w:val="Bodytext2"/>
    <w:pPr>
      <w:spacing w:line="317" w:lineRule="auto"/>
      <w:ind w:left="720" w:firstLine="360"/>
    </w:pPr>
    <w:rPr>
      <w:rFonts w:ascii="Arial" w:eastAsia="Arial" w:hAnsi="Arial" w:cs="Arial"/>
      <w:sz w:val="9"/>
      <w:szCs w:val="9"/>
    </w:rPr>
  </w:style>
  <w:style w:type="paragraph" w:customStyle="1" w:styleId="Other0">
    <w:name w:val="Other"/>
    <w:basedOn w:val="Normal"/>
    <w:link w:val="Other"/>
    <w:pPr>
      <w:spacing w:line="271" w:lineRule="auto"/>
    </w:pPr>
    <w:rPr>
      <w:rFonts w:ascii="Arial" w:eastAsia="Arial" w:hAnsi="Arial" w:cs="Arial"/>
      <w:i/>
      <w:iCs/>
      <w:sz w:val="22"/>
      <w:szCs w:val="22"/>
    </w:rPr>
  </w:style>
  <w:style w:type="paragraph" w:customStyle="1" w:styleId="Tablecaption0">
    <w:name w:val="Table caption"/>
    <w:basedOn w:val="Normal"/>
    <w:link w:val="Tablecaption"/>
    <w:rPr>
      <w:rFonts w:ascii="Arial" w:eastAsia="Arial" w:hAnsi="Arial" w:cs="Arial"/>
      <w:b/>
      <w:bCs/>
      <w:sz w:val="22"/>
      <w:szCs w:val="22"/>
    </w:rPr>
  </w:style>
  <w:style w:type="paragraph" w:customStyle="1" w:styleId="Heading11">
    <w:name w:val="Heading #1"/>
    <w:basedOn w:val="Normal"/>
    <w:link w:val="Heading10"/>
    <w:pPr>
      <w:outlineLvl w:val="0"/>
    </w:pPr>
    <w:rPr>
      <w:rFonts w:ascii="Times New Roman" w:eastAsia="Times New Roman" w:hAnsi="Times New Roman" w:cs="Times New Roman"/>
      <w:color w:val="7077BB"/>
      <w:sz w:val="36"/>
      <w:szCs w:val="36"/>
    </w:rPr>
  </w:style>
  <w:style w:type="paragraph" w:customStyle="1" w:styleId="Bodytext30">
    <w:name w:val="Body text (3)"/>
    <w:basedOn w:val="Normal"/>
    <w:link w:val="Bodytext3"/>
    <w:rPr>
      <w:rFonts w:ascii="Arial" w:eastAsia="Arial" w:hAnsi="Arial" w:cs="Arial"/>
      <w:i/>
      <w:iCs/>
      <w:sz w:val="17"/>
      <w:szCs w:val="17"/>
    </w:rPr>
  </w:style>
  <w:style w:type="paragraph" w:customStyle="1" w:styleId="Bodytext40">
    <w:name w:val="Body text (4)"/>
    <w:basedOn w:val="Normal"/>
    <w:link w:val="Bodytext4"/>
    <w:pPr>
      <w:spacing w:line="180" w:lineRule="auto"/>
      <w:jc w:val="right"/>
    </w:pPr>
    <w:rPr>
      <w:rFonts w:ascii="Times New Roman" w:eastAsia="Times New Roman" w:hAnsi="Times New Roman" w:cs="Times New Roman"/>
      <w:b/>
      <w:bCs/>
      <w:color w:val="FD5E69"/>
      <w:w w:val="8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031048"/>
    <w:pPr>
      <w:ind w:left="720"/>
      <w:contextualSpacing/>
    </w:p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wosBg8Tje3iNrrr6i45VFQzrQ==">CgMxLjA4AHIhMVFDWWYtWEdNdVBkX0g3Z2RHSjQ2OEp0NS1yejF6eXFq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2024-04-09T04:08:00Z</dcterms:created>
  <dcterms:modified xsi:type="dcterms:W3CDTF">2024-04-09T04:08:00Z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0bb590639095d3e950cfa2d40e1e47bcad074ced65125a5077ab79e3e879507b</vt:lpwstr>
  </property>
</Properties>
</file>