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EE002B1" w:rsidR="00E12424" w:rsidRPr="004F5115" w:rsidRDefault="004F5115" w:rsidP="00F87747">
      <w:pPr>
        <w:pBdr>
          <w:top w:val="nil"/>
          <w:left w:val="nil"/>
          <w:bottom w:val="nil"/>
          <w:right w:val="nil"/>
          <w:between w:val="nil"/>
        </w:pBdr>
        <w:tabs>
          <w:tab w:val="left" w:pos="432"/>
          <w:tab w:val="left" w:pos="5650"/>
        </w:tabs>
        <w:spacing w:after="120" w:line="360" w:lineRule="auto"/>
        <w:rPr>
          <w:rFonts w:ascii="Arial" w:eastAsia="Arial" w:hAnsi="Arial" w:cs="Arial"/>
          <w:b/>
          <w:color w:val="010000"/>
          <w:sz w:val="20"/>
          <w:szCs w:val="20"/>
        </w:rPr>
      </w:pPr>
      <w:bookmarkStart w:id="0" w:name="_heading=h.gjdgxs"/>
      <w:bookmarkEnd w:id="0"/>
      <w:r w:rsidRPr="004F5115">
        <w:rPr>
          <w:rFonts w:ascii="Arial" w:hAnsi="Arial" w:cs="Arial"/>
          <w:b/>
          <w:color w:val="010000"/>
          <w:sz w:val="20"/>
        </w:rPr>
        <w:t xml:space="preserve">VHH: Explanation of shares being </w:t>
      </w:r>
      <w:r w:rsidR="00D120C9" w:rsidRPr="004F5115">
        <w:rPr>
          <w:rFonts w:ascii="Arial" w:hAnsi="Arial" w:cs="Arial"/>
          <w:b/>
          <w:color w:val="010000"/>
          <w:sz w:val="20"/>
        </w:rPr>
        <w:t xml:space="preserve">put under </w:t>
      </w:r>
      <w:r w:rsidR="00661F43">
        <w:rPr>
          <w:rFonts w:ascii="Arial" w:hAnsi="Arial" w:cs="Arial"/>
          <w:b/>
          <w:color w:val="010000"/>
          <w:sz w:val="20"/>
        </w:rPr>
        <w:t>alert</w:t>
      </w:r>
    </w:p>
    <w:p w14:paraId="00000002" w14:textId="77777777" w:rsidR="00E12424" w:rsidRPr="004F5115" w:rsidRDefault="004F5115" w:rsidP="00F87747">
      <w:pPr>
        <w:pBdr>
          <w:top w:val="nil"/>
          <w:left w:val="nil"/>
          <w:bottom w:val="nil"/>
          <w:right w:val="nil"/>
          <w:between w:val="nil"/>
        </w:pBdr>
        <w:tabs>
          <w:tab w:val="left" w:pos="432"/>
          <w:tab w:val="left" w:pos="5650"/>
        </w:tabs>
        <w:spacing w:after="120" w:line="360" w:lineRule="auto"/>
        <w:rPr>
          <w:rFonts w:ascii="Arial" w:eastAsia="Arial" w:hAnsi="Arial" w:cs="Arial"/>
          <w:color w:val="010000"/>
          <w:sz w:val="20"/>
          <w:szCs w:val="20"/>
        </w:rPr>
      </w:pPr>
      <w:r w:rsidRPr="004F5115">
        <w:rPr>
          <w:rFonts w:ascii="Arial" w:hAnsi="Arial" w:cs="Arial"/>
          <w:color w:val="010000"/>
          <w:sz w:val="20"/>
        </w:rPr>
        <w:t>On April 5, 2024, Thanh Dat Investment House Trading JSC announced Official Dispatch No. 19/CT-CBTT as follows:</w:t>
      </w:r>
    </w:p>
    <w:p w14:paraId="00000003" w14:textId="77777777" w:rsidR="00E12424" w:rsidRPr="004F5115" w:rsidRDefault="004F5115" w:rsidP="00F87747">
      <w:pPr>
        <w:numPr>
          <w:ilvl w:val="0"/>
          <w:numId w:val="1"/>
        </w:numPr>
        <w:pBdr>
          <w:top w:val="nil"/>
          <w:left w:val="nil"/>
          <w:bottom w:val="nil"/>
          <w:right w:val="nil"/>
          <w:between w:val="nil"/>
        </w:pBdr>
        <w:tabs>
          <w:tab w:val="left" w:pos="432"/>
          <w:tab w:val="left" w:pos="466"/>
        </w:tabs>
        <w:spacing w:after="120" w:line="360" w:lineRule="auto"/>
        <w:rPr>
          <w:rFonts w:ascii="Arial" w:eastAsia="Arial" w:hAnsi="Arial" w:cs="Arial"/>
          <w:color w:val="010000"/>
          <w:sz w:val="20"/>
          <w:szCs w:val="20"/>
        </w:rPr>
      </w:pPr>
      <w:r w:rsidRPr="004F5115">
        <w:rPr>
          <w:rFonts w:ascii="Arial" w:hAnsi="Arial" w:cs="Arial"/>
          <w:color w:val="010000"/>
          <w:sz w:val="20"/>
        </w:rPr>
        <w:t>Some accounts receivable and payable had not been reconciled or confirmed as of December 31, 2023. The auditor used alternative audit procedures by sending confirmation letters. However, up to now, we have not yet received a response from related parties because the Company's customers are far away and the time for sending confirmations was short. The Company commits to s</w:t>
      </w:r>
      <w:bookmarkStart w:id="1" w:name="_GoBack"/>
      <w:bookmarkEnd w:id="1"/>
      <w:r w:rsidRPr="004F5115">
        <w:rPr>
          <w:rFonts w:ascii="Arial" w:hAnsi="Arial" w:cs="Arial"/>
          <w:color w:val="010000"/>
          <w:sz w:val="20"/>
        </w:rPr>
        <w:t>ign the confirmation letter as quickly as possible.</w:t>
      </w:r>
    </w:p>
    <w:p w14:paraId="00000004" w14:textId="6B8DCED3" w:rsidR="00E12424" w:rsidRPr="004F5115" w:rsidRDefault="004F5115" w:rsidP="00F87747">
      <w:pPr>
        <w:numPr>
          <w:ilvl w:val="0"/>
          <w:numId w:val="1"/>
        </w:numPr>
        <w:pBdr>
          <w:top w:val="nil"/>
          <w:left w:val="nil"/>
          <w:bottom w:val="nil"/>
          <w:right w:val="nil"/>
          <w:between w:val="nil"/>
        </w:pBdr>
        <w:tabs>
          <w:tab w:val="left" w:pos="442"/>
        </w:tabs>
        <w:spacing w:after="120" w:line="360" w:lineRule="auto"/>
        <w:rPr>
          <w:rFonts w:ascii="Arial" w:eastAsia="Arial" w:hAnsi="Arial" w:cs="Arial"/>
          <w:color w:val="010000"/>
          <w:sz w:val="20"/>
          <w:szCs w:val="20"/>
        </w:rPr>
      </w:pPr>
      <w:r w:rsidRPr="004F5115">
        <w:rPr>
          <w:rFonts w:ascii="Arial" w:hAnsi="Arial" w:cs="Arial"/>
          <w:color w:val="010000"/>
          <w:sz w:val="20"/>
        </w:rPr>
        <w:t>Auditors were not allowed to participate in witnessing inventory as of December 31, 2023. Because as of December 31, 2023, the inventory was prolonged and intermittent due to the large supply of concrete for many projects leading to the volume of raw materials entering and leaving the warehouse changing continuously. Production only stopped at 9:00 p.m. on December 31, 2023, and the inventory check was accurately carried out. Therefore, the auditor did not participate in the inventory with the Company.</w:t>
      </w:r>
    </w:p>
    <w:p w14:paraId="00000005" w14:textId="317D305F" w:rsidR="00E12424" w:rsidRPr="004F5115" w:rsidRDefault="004F5115" w:rsidP="00F87747">
      <w:pPr>
        <w:numPr>
          <w:ilvl w:val="0"/>
          <w:numId w:val="1"/>
        </w:numPr>
        <w:pBdr>
          <w:top w:val="nil"/>
          <w:left w:val="nil"/>
          <w:bottom w:val="nil"/>
          <w:right w:val="nil"/>
          <w:between w:val="nil"/>
        </w:pBdr>
        <w:tabs>
          <w:tab w:val="left" w:pos="442"/>
        </w:tabs>
        <w:spacing w:after="120" w:line="360" w:lineRule="auto"/>
        <w:rPr>
          <w:rFonts w:ascii="Arial" w:eastAsia="Arial" w:hAnsi="Arial" w:cs="Arial"/>
          <w:color w:val="010000"/>
          <w:sz w:val="20"/>
          <w:szCs w:val="20"/>
        </w:rPr>
      </w:pPr>
      <w:r w:rsidRPr="004F5115">
        <w:rPr>
          <w:rFonts w:ascii="Arial" w:hAnsi="Arial" w:cs="Arial"/>
          <w:color w:val="010000"/>
          <w:sz w:val="20"/>
        </w:rPr>
        <w:t>As for overdue receivables: As in the document on explanation for auditor’s qualified opinion, the Company has explained that the severe consequences of the COVID-19 pandemic led to an increasingly difficult economic situation. Many businesses were in trouble, even going bankrupt, investment in projects was restricted, the disbursement of loans from partner companies also faced many difficulties leading to delayed debt payment. Currently, to overcome the above difficulties, the Company has actively reminded and urged Partner Units to pay debts to stabilize production and business activities and recover debts.</w:t>
      </w:r>
    </w:p>
    <w:p w14:paraId="00000006" w14:textId="190CC101" w:rsidR="00E12424" w:rsidRPr="004F5115" w:rsidRDefault="004F5115" w:rsidP="00F87747">
      <w:pPr>
        <w:numPr>
          <w:ilvl w:val="0"/>
          <w:numId w:val="1"/>
        </w:numPr>
        <w:pBdr>
          <w:top w:val="nil"/>
          <w:left w:val="nil"/>
          <w:bottom w:val="nil"/>
          <w:right w:val="nil"/>
          <w:between w:val="nil"/>
        </w:pBdr>
        <w:tabs>
          <w:tab w:val="left" w:pos="442"/>
        </w:tabs>
        <w:spacing w:after="120" w:line="360" w:lineRule="auto"/>
        <w:rPr>
          <w:rFonts w:ascii="Arial" w:eastAsia="Arial" w:hAnsi="Arial" w:cs="Arial"/>
          <w:color w:val="010000"/>
          <w:sz w:val="20"/>
          <w:szCs w:val="20"/>
        </w:rPr>
      </w:pPr>
      <w:r w:rsidRPr="004F5115">
        <w:rPr>
          <w:rFonts w:ascii="Arial" w:hAnsi="Arial" w:cs="Arial"/>
          <w:color w:val="010000"/>
          <w:sz w:val="20"/>
        </w:rPr>
        <w:t>As for the investment cost of the mining project, the People's Committee of Thua Thien Hue Province decided to withdraw it and hand it over to another Enterprise. However, the Enterprise that received the project has not yet completed the delivery procedures, leading to the failure to refund the costs that the Company had previously spent. Currently, the Company is still contacting to urge the Enterprise to refund the initial expenses.</w:t>
      </w:r>
    </w:p>
    <w:sectPr w:rsidR="00E12424" w:rsidRPr="004F5115" w:rsidSect="00F8774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6"/>
    <w:family w:val="roman"/>
    <w:notTrueType/>
    <w:pitch w:val="default"/>
  </w:font>
  <w:font w:name="游明朝">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F0862"/>
    <w:multiLevelType w:val="multilevel"/>
    <w:tmpl w:val="B65455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24"/>
    <w:rsid w:val="004F5115"/>
    <w:rsid w:val="00661F43"/>
    <w:rsid w:val="008868C7"/>
    <w:rsid w:val="00D120C9"/>
    <w:rsid w:val="00E12424"/>
    <w:rsid w:val="00F8774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B56BC"/>
  <w15:docId w15:val="{17EA191B-661F-4D4E-ADBF-032ECE20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0"/>
      <w:szCs w:val="10"/>
      <w:u w:val="none"/>
      <w:shd w:val="clear" w:color="auto" w:fill="auto"/>
    </w:rPr>
  </w:style>
  <w:style w:type="paragraph" w:customStyle="1" w:styleId="Bodytext20">
    <w:name w:val="Body text (2)"/>
    <w:basedOn w:val="Normal"/>
    <w:link w:val="Bodytext2"/>
    <w:pPr>
      <w:spacing w:line="288" w:lineRule="auto"/>
      <w:ind w:left="140" w:firstLine="40"/>
    </w:pPr>
    <w:rPr>
      <w:rFonts w:ascii="Times New Roman" w:eastAsia="Times New Roman" w:hAnsi="Times New Roman" w:cs="Times New Roman"/>
      <w:sz w:val="26"/>
      <w:szCs w:val="26"/>
    </w:rPr>
  </w:style>
  <w:style w:type="paragraph" w:styleId="BodyText">
    <w:name w:val="Body Text"/>
    <w:basedOn w:val="Normal"/>
    <w:link w:val="BodyTextChar"/>
    <w:qFormat/>
    <w:pPr>
      <w:spacing w:line="310" w:lineRule="auto"/>
      <w:ind w:firstLine="6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sz w:val="28"/>
      <w:szCs w:val="28"/>
    </w:rPr>
  </w:style>
  <w:style w:type="paragraph" w:customStyle="1" w:styleId="Bodytext30">
    <w:name w:val="Body text (3)"/>
    <w:basedOn w:val="Normal"/>
    <w:link w:val="Bodytext3"/>
    <w:pPr>
      <w:spacing w:line="259" w:lineRule="auto"/>
    </w:pPr>
    <w:rPr>
      <w:rFonts w:ascii="Arial" w:eastAsia="Arial" w:hAnsi="Arial" w:cs="Arial"/>
      <w:b/>
      <w:bCs/>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mnohb+nYjA1JmEqBkweCNiw25w==">CgMxLjAyCGguZ2pkZ3hzOAByITEtYVlTVmpWMEw4ak15aXVma1l4bkhBZ2lUZV9JZWNBYw==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Bich Thuy</cp:lastModifiedBy>
  <cp:revision>4</cp:revision>
  <dcterms:created xsi:type="dcterms:W3CDTF">2024-04-08T04:49:00Z</dcterms:created>
  <dcterms:modified xsi:type="dcterms:W3CDTF">2024-04-09T08:44:00Z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1b76b263985bdc604149b67c453775f9b99c9cee9f83c32ec0eb5c86ad8c08a6</vt:lpwstr>
  </property>
</Properties>
</file>