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78F36" w14:textId="77777777" w:rsidR="002D4F36" w:rsidRPr="00175523" w:rsidRDefault="00BA5748" w:rsidP="00175523">
      <w:pPr>
        <w:pBdr>
          <w:top w:val="nil"/>
          <w:left w:val="nil"/>
          <w:bottom w:val="nil"/>
          <w:right w:val="nil"/>
          <w:between w:val="nil"/>
        </w:pBdr>
        <w:tabs>
          <w:tab w:val="left" w:pos="142"/>
        </w:tabs>
        <w:spacing w:after="120" w:line="360" w:lineRule="auto"/>
        <w:jc w:val="both"/>
        <w:rPr>
          <w:rFonts w:ascii="Arial" w:eastAsia="Arial" w:hAnsi="Arial" w:cs="Arial"/>
          <w:b/>
          <w:color w:val="010000"/>
          <w:sz w:val="20"/>
          <w:szCs w:val="20"/>
        </w:rPr>
      </w:pPr>
      <w:r w:rsidRPr="00175523">
        <w:rPr>
          <w:rFonts w:ascii="Arial" w:hAnsi="Arial" w:cs="Arial"/>
          <w:b/>
          <w:color w:val="010000"/>
          <w:sz w:val="20"/>
        </w:rPr>
        <w:t>VIT: Annual General Mandate 2024</w:t>
      </w:r>
    </w:p>
    <w:p w14:paraId="5A0DDEC3" w14:textId="125408DD" w:rsidR="002D4F36" w:rsidRPr="00175523" w:rsidRDefault="00BA5748" w:rsidP="00175523">
      <w:pPr>
        <w:pBdr>
          <w:top w:val="nil"/>
          <w:left w:val="nil"/>
          <w:bottom w:val="nil"/>
          <w:right w:val="nil"/>
          <w:between w:val="nil"/>
        </w:pBdr>
        <w:tabs>
          <w:tab w:val="left" w:pos="142"/>
        </w:tabs>
        <w:spacing w:after="120" w:line="360" w:lineRule="auto"/>
        <w:jc w:val="both"/>
        <w:rPr>
          <w:rFonts w:ascii="Arial" w:eastAsia="Arial" w:hAnsi="Arial" w:cs="Arial"/>
          <w:color w:val="010000"/>
          <w:sz w:val="20"/>
          <w:szCs w:val="20"/>
        </w:rPr>
      </w:pPr>
      <w:r w:rsidRPr="00175523">
        <w:rPr>
          <w:rFonts w:ascii="Arial" w:hAnsi="Arial" w:cs="Arial"/>
          <w:color w:val="010000"/>
          <w:sz w:val="20"/>
        </w:rPr>
        <w:t xml:space="preserve">On April 4, 2024, </w:t>
      </w:r>
      <w:proofErr w:type="spellStart"/>
      <w:r w:rsidRPr="00175523">
        <w:rPr>
          <w:rFonts w:ascii="Arial" w:hAnsi="Arial" w:cs="Arial"/>
          <w:color w:val="010000"/>
          <w:sz w:val="20"/>
        </w:rPr>
        <w:t>Viglacera</w:t>
      </w:r>
      <w:proofErr w:type="spellEnd"/>
      <w:r w:rsidRPr="00175523">
        <w:rPr>
          <w:rFonts w:ascii="Arial" w:hAnsi="Arial" w:cs="Arial"/>
          <w:color w:val="010000"/>
          <w:sz w:val="20"/>
        </w:rPr>
        <w:t xml:space="preserve"> Tien Son JSC announced General Mandate No. 03/VIT-</w:t>
      </w:r>
      <w:r w:rsidR="00327174" w:rsidRPr="00175523">
        <w:rPr>
          <w:rFonts w:ascii="Arial" w:hAnsi="Arial" w:cs="Arial"/>
          <w:color w:val="010000"/>
          <w:sz w:val="20"/>
        </w:rPr>
        <w:t>D</w:t>
      </w:r>
      <w:r w:rsidRPr="00175523">
        <w:rPr>
          <w:rFonts w:ascii="Arial" w:hAnsi="Arial" w:cs="Arial"/>
          <w:color w:val="010000"/>
          <w:sz w:val="20"/>
        </w:rPr>
        <w:t xml:space="preserve">HDCD as follows: </w:t>
      </w:r>
    </w:p>
    <w:p w14:paraId="6127B801" w14:textId="1F3C9BC0" w:rsidR="002D4F36" w:rsidRPr="00175523" w:rsidRDefault="00BA5748" w:rsidP="00175523">
      <w:pPr>
        <w:pBdr>
          <w:top w:val="nil"/>
          <w:left w:val="nil"/>
          <w:bottom w:val="nil"/>
          <w:right w:val="nil"/>
          <w:between w:val="nil"/>
        </w:pBdr>
        <w:tabs>
          <w:tab w:val="left" w:pos="142"/>
        </w:tabs>
        <w:spacing w:after="120" w:line="360" w:lineRule="auto"/>
        <w:jc w:val="both"/>
        <w:rPr>
          <w:rFonts w:ascii="Arial" w:eastAsia="Arial" w:hAnsi="Arial" w:cs="Arial"/>
          <w:color w:val="010000"/>
          <w:sz w:val="20"/>
          <w:szCs w:val="20"/>
        </w:rPr>
      </w:pPr>
      <w:r w:rsidRPr="00175523">
        <w:rPr>
          <w:rFonts w:ascii="Arial" w:hAnsi="Arial" w:cs="Arial"/>
          <w:color w:val="010000"/>
          <w:sz w:val="20"/>
        </w:rPr>
        <w:t xml:space="preserve">Article 1: Approve the </w:t>
      </w:r>
      <w:r w:rsidR="00327174" w:rsidRPr="00175523">
        <w:rPr>
          <w:rFonts w:ascii="Arial" w:hAnsi="Arial" w:cs="Arial"/>
          <w:color w:val="010000"/>
          <w:sz w:val="20"/>
        </w:rPr>
        <w:t>Financial Statements 20</w:t>
      </w:r>
      <w:r w:rsidRPr="00175523">
        <w:rPr>
          <w:rFonts w:ascii="Arial" w:hAnsi="Arial" w:cs="Arial"/>
          <w:color w:val="010000"/>
          <w:sz w:val="20"/>
        </w:rPr>
        <w:t>23 audited by</w:t>
      </w:r>
      <w:r w:rsidR="00C26BA8" w:rsidRPr="00175523">
        <w:rPr>
          <w:rFonts w:ascii="Arial" w:hAnsi="Arial" w:cs="Arial"/>
          <w:color w:val="010000"/>
          <w:sz w:val="20"/>
        </w:rPr>
        <w:t xml:space="preserve"> </w:t>
      </w:r>
      <w:r w:rsidR="00327174" w:rsidRPr="00175523">
        <w:rPr>
          <w:rFonts w:ascii="Arial" w:hAnsi="Arial" w:cs="Arial"/>
          <w:color w:val="010000"/>
          <w:sz w:val="20"/>
        </w:rPr>
        <w:t>Deloitte Vietnam Company Limited</w:t>
      </w:r>
      <w:r w:rsidRPr="00175523">
        <w:rPr>
          <w:rFonts w:ascii="Arial" w:hAnsi="Arial" w:cs="Arial"/>
          <w:color w:val="010000"/>
          <w:sz w:val="20"/>
        </w:rPr>
        <w:t xml:space="preserve"> and </w:t>
      </w:r>
      <w:r w:rsidR="00327174" w:rsidRPr="00175523">
        <w:rPr>
          <w:rFonts w:ascii="Arial" w:hAnsi="Arial" w:cs="Arial"/>
          <w:color w:val="010000"/>
          <w:sz w:val="20"/>
        </w:rPr>
        <w:t>the</w:t>
      </w:r>
      <w:r w:rsidRPr="00175523">
        <w:rPr>
          <w:rFonts w:ascii="Arial" w:hAnsi="Arial" w:cs="Arial"/>
          <w:color w:val="010000"/>
          <w:sz w:val="20"/>
        </w:rPr>
        <w:t xml:space="preserve"> Report on production and business results in 2023 of the </w:t>
      </w:r>
      <w:r w:rsidR="00287B71">
        <w:rPr>
          <w:rFonts w:ascii="Arial" w:hAnsi="Arial" w:cs="Arial"/>
          <w:color w:val="010000"/>
          <w:sz w:val="20"/>
        </w:rPr>
        <w:t>Executive Board</w:t>
      </w:r>
      <w:r w:rsidRPr="00175523">
        <w:rPr>
          <w:rFonts w:ascii="Arial" w:hAnsi="Arial" w:cs="Arial"/>
          <w:color w:val="010000"/>
          <w:sz w:val="20"/>
        </w:rPr>
        <w:t xml:space="preserve"> as follows:</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80"/>
        <w:gridCol w:w="1816"/>
        <w:gridCol w:w="2054"/>
        <w:gridCol w:w="2067"/>
      </w:tblGrid>
      <w:tr w:rsidR="002D4F36" w:rsidRPr="00175523" w14:paraId="236D5BEF" w14:textId="77777777" w:rsidTr="00175523">
        <w:trPr>
          <w:jc w:val="center"/>
        </w:trPr>
        <w:tc>
          <w:tcPr>
            <w:tcW w:w="1708" w:type="pct"/>
            <w:shd w:val="clear" w:color="auto" w:fill="auto"/>
            <w:tcMar>
              <w:top w:w="0" w:type="dxa"/>
              <w:bottom w:w="0" w:type="dxa"/>
            </w:tcMar>
            <w:vAlign w:val="center"/>
          </w:tcPr>
          <w:p w14:paraId="4BCADE0C" w14:textId="77777777" w:rsidR="002D4F36" w:rsidRPr="00175523" w:rsidRDefault="00BA5748" w:rsidP="00175523">
            <w:pPr>
              <w:pBdr>
                <w:top w:val="nil"/>
                <w:left w:val="nil"/>
                <w:bottom w:val="nil"/>
                <w:right w:val="nil"/>
                <w:between w:val="nil"/>
              </w:pBdr>
              <w:tabs>
                <w:tab w:val="left" w:pos="142"/>
              </w:tabs>
              <w:spacing w:after="120" w:line="360" w:lineRule="auto"/>
              <w:jc w:val="center"/>
              <w:rPr>
                <w:rFonts w:ascii="Arial" w:eastAsia="Arial" w:hAnsi="Arial" w:cs="Arial"/>
                <w:color w:val="010000"/>
                <w:sz w:val="20"/>
                <w:szCs w:val="20"/>
              </w:rPr>
            </w:pPr>
            <w:r w:rsidRPr="00175523">
              <w:rPr>
                <w:rFonts w:ascii="Arial" w:hAnsi="Arial" w:cs="Arial"/>
                <w:color w:val="010000"/>
                <w:sz w:val="20"/>
              </w:rPr>
              <w:t>Targets</w:t>
            </w:r>
          </w:p>
        </w:tc>
        <w:tc>
          <w:tcPr>
            <w:tcW w:w="1007" w:type="pct"/>
            <w:shd w:val="clear" w:color="auto" w:fill="auto"/>
            <w:tcMar>
              <w:top w:w="0" w:type="dxa"/>
              <w:bottom w:w="0" w:type="dxa"/>
            </w:tcMar>
            <w:vAlign w:val="center"/>
          </w:tcPr>
          <w:p w14:paraId="40B54A7A" w14:textId="77777777" w:rsidR="002D4F36" w:rsidRPr="00175523" w:rsidRDefault="00BA5748" w:rsidP="00175523">
            <w:pPr>
              <w:pBdr>
                <w:top w:val="nil"/>
                <w:left w:val="nil"/>
                <w:bottom w:val="nil"/>
                <w:right w:val="nil"/>
                <w:between w:val="nil"/>
              </w:pBdr>
              <w:tabs>
                <w:tab w:val="left" w:pos="142"/>
              </w:tabs>
              <w:spacing w:after="120" w:line="360" w:lineRule="auto"/>
              <w:jc w:val="center"/>
              <w:rPr>
                <w:rFonts w:ascii="Arial" w:eastAsia="Arial" w:hAnsi="Arial" w:cs="Arial"/>
                <w:color w:val="010000"/>
                <w:sz w:val="20"/>
                <w:szCs w:val="20"/>
              </w:rPr>
            </w:pPr>
            <w:r w:rsidRPr="00175523">
              <w:rPr>
                <w:rFonts w:ascii="Arial" w:hAnsi="Arial" w:cs="Arial"/>
                <w:color w:val="010000"/>
                <w:sz w:val="20"/>
              </w:rPr>
              <w:t>Unit</w:t>
            </w:r>
          </w:p>
        </w:tc>
        <w:tc>
          <w:tcPr>
            <w:tcW w:w="1139" w:type="pct"/>
            <w:shd w:val="clear" w:color="auto" w:fill="auto"/>
            <w:tcMar>
              <w:top w:w="0" w:type="dxa"/>
              <w:bottom w:w="0" w:type="dxa"/>
            </w:tcMar>
            <w:vAlign w:val="center"/>
          </w:tcPr>
          <w:p w14:paraId="05F6F52D" w14:textId="77777777" w:rsidR="002D4F36" w:rsidRPr="00175523" w:rsidRDefault="00BA5748" w:rsidP="00175523">
            <w:pPr>
              <w:pBdr>
                <w:top w:val="nil"/>
                <w:left w:val="nil"/>
                <w:bottom w:val="nil"/>
                <w:right w:val="nil"/>
                <w:between w:val="nil"/>
              </w:pBdr>
              <w:tabs>
                <w:tab w:val="left" w:pos="142"/>
              </w:tabs>
              <w:spacing w:after="120" w:line="360" w:lineRule="auto"/>
              <w:jc w:val="center"/>
              <w:rPr>
                <w:rFonts w:ascii="Arial" w:eastAsia="Arial" w:hAnsi="Arial" w:cs="Arial"/>
                <w:color w:val="010000"/>
                <w:sz w:val="20"/>
                <w:szCs w:val="20"/>
              </w:rPr>
            </w:pPr>
            <w:r w:rsidRPr="00175523">
              <w:rPr>
                <w:rFonts w:ascii="Arial" w:hAnsi="Arial" w:cs="Arial"/>
                <w:color w:val="010000"/>
                <w:sz w:val="20"/>
              </w:rPr>
              <w:t>Plan</w:t>
            </w:r>
          </w:p>
        </w:tc>
        <w:tc>
          <w:tcPr>
            <w:tcW w:w="1146" w:type="pct"/>
            <w:shd w:val="clear" w:color="auto" w:fill="auto"/>
            <w:tcMar>
              <w:top w:w="0" w:type="dxa"/>
              <w:bottom w:w="0" w:type="dxa"/>
            </w:tcMar>
            <w:vAlign w:val="center"/>
          </w:tcPr>
          <w:p w14:paraId="6E28846E" w14:textId="77777777" w:rsidR="002D4F36" w:rsidRPr="00175523" w:rsidRDefault="00BA5748" w:rsidP="00175523">
            <w:pPr>
              <w:pBdr>
                <w:top w:val="nil"/>
                <w:left w:val="nil"/>
                <w:bottom w:val="nil"/>
                <w:right w:val="nil"/>
                <w:between w:val="nil"/>
              </w:pBdr>
              <w:tabs>
                <w:tab w:val="left" w:pos="142"/>
              </w:tabs>
              <w:spacing w:after="120" w:line="360" w:lineRule="auto"/>
              <w:jc w:val="center"/>
              <w:rPr>
                <w:rFonts w:ascii="Arial" w:eastAsia="Arial" w:hAnsi="Arial" w:cs="Arial"/>
                <w:color w:val="010000"/>
                <w:sz w:val="20"/>
                <w:szCs w:val="20"/>
              </w:rPr>
            </w:pPr>
            <w:r w:rsidRPr="00175523">
              <w:rPr>
                <w:rFonts w:ascii="Arial" w:hAnsi="Arial" w:cs="Arial"/>
                <w:color w:val="010000"/>
                <w:sz w:val="20"/>
              </w:rPr>
              <w:t>Results</w:t>
            </w:r>
          </w:p>
        </w:tc>
      </w:tr>
      <w:tr w:rsidR="002D4F36" w:rsidRPr="00175523" w14:paraId="195DEA85" w14:textId="77777777" w:rsidTr="00175523">
        <w:trPr>
          <w:jc w:val="center"/>
        </w:trPr>
        <w:tc>
          <w:tcPr>
            <w:tcW w:w="1708" w:type="pct"/>
            <w:shd w:val="clear" w:color="auto" w:fill="auto"/>
            <w:tcMar>
              <w:top w:w="0" w:type="dxa"/>
              <w:bottom w:w="0" w:type="dxa"/>
            </w:tcMar>
            <w:vAlign w:val="center"/>
          </w:tcPr>
          <w:p w14:paraId="356CAFEC" w14:textId="77777777" w:rsidR="002D4F36" w:rsidRPr="00175523" w:rsidRDefault="00BA5748" w:rsidP="00175523">
            <w:pPr>
              <w:pBdr>
                <w:top w:val="nil"/>
                <w:left w:val="nil"/>
                <w:bottom w:val="nil"/>
                <w:right w:val="nil"/>
                <w:between w:val="nil"/>
              </w:pBdr>
              <w:tabs>
                <w:tab w:val="left" w:pos="142"/>
              </w:tabs>
              <w:spacing w:after="120" w:line="360" w:lineRule="auto"/>
              <w:rPr>
                <w:rFonts w:ascii="Arial" w:eastAsia="Arial" w:hAnsi="Arial" w:cs="Arial"/>
                <w:color w:val="010000"/>
                <w:sz w:val="20"/>
                <w:szCs w:val="20"/>
              </w:rPr>
            </w:pPr>
            <w:r w:rsidRPr="00175523">
              <w:rPr>
                <w:rFonts w:ascii="Arial" w:hAnsi="Arial" w:cs="Arial"/>
                <w:color w:val="010000"/>
                <w:sz w:val="20"/>
              </w:rPr>
              <w:t>1/ Profit before tax</w:t>
            </w:r>
          </w:p>
        </w:tc>
        <w:tc>
          <w:tcPr>
            <w:tcW w:w="1007" w:type="pct"/>
            <w:shd w:val="clear" w:color="auto" w:fill="auto"/>
            <w:tcMar>
              <w:top w:w="0" w:type="dxa"/>
              <w:bottom w:w="0" w:type="dxa"/>
            </w:tcMar>
            <w:vAlign w:val="center"/>
          </w:tcPr>
          <w:p w14:paraId="25A5D13E" w14:textId="77777777" w:rsidR="002D4F36" w:rsidRPr="00175523" w:rsidRDefault="00BA5748" w:rsidP="00175523">
            <w:pPr>
              <w:pBdr>
                <w:top w:val="nil"/>
                <w:left w:val="nil"/>
                <w:bottom w:val="nil"/>
                <w:right w:val="nil"/>
                <w:between w:val="nil"/>
              </w:pBdr>
              <w:tabs>
                <w:tab w:val="left" w:pos="142"/>
              </w:tabs>
              <w:spacing w:after="120" w:line="360" w:lineRule="auto"/>
              <w:rPr>
                <w:rFonts w:ascii="Arial" w:eastAsia="Arial" w:hAnsi="Arial" w:cs="Arial"/>
                <w:color w:val="010000"/>
                <w:sz w:val="20"/>
                <w:szCs w:val="20"/>
              </w:rPr>
            </w:pPr>
            <w:r w:rsidRPr="00175523">
              <w:rPr>
                <w:rFonts w:ascii="Arial" w:hAnsi="Arial" w:cs="Arial"/>
                <w:color w:val="010000"/>
                <w:sz w:val="20"/>
              </w:rPr>
              <w:t>Million VND</w:t>
            </w:r>
          </w:p>
        </w:tc>
        <w:tc>
          <w:tcPr>
            <w:tcW w:w="1139" w:type="pct"/>
            <w:shd w:val="clear" w:color="auto" w:fill="auto"/>
            <w:tcMar>
              <w:top w:w="0" w:type="dxa"/>
              <w:bottom w:w="0" w:type="dxa"/>
            </w:tcMar>
            <w:vAlign w:val="center"/>
          </w:tcPr>
          <w:p w14:paraId="65590F90" w14:textId="77777777" w:rsidR="002D4F36" w:rsidRPr="00175523" w:rsidRDefault="00BA5748" w:rsidP="00175523">
            <w:pPr>
              <w:pBdr>
                <w:top w:val="nil"/>
                <w:left w:val="nil"/>
                <w:bottom w:val="nil"/>
                <w:right w:val="nil"/>
                <w:between w:val="nil"/>
              </w:pBdr>
              <w:tabs>
                <w:tab w:val="left" w:pos="142"/>
              </w:tabs>
              <w:spacing w:after="120" w:line="360" w:lineRule="auto"/>
              <w:jc w:val="right"/>
              <w:rPr>
                <w:rFonts w:ascii="Arial" w:eastAsia="Arial" w:hAnsi="Arial" w:cs="Arial"/>
                <w:color w:val="010000"/>
                <w:sz w:val="20"/>
                <w:szCs w:val="20"/>
              </w:rPr>
            </w:pPr>
            <w:r w:rsidRPr="00175523">
              <w:rPr>
                <w:rFonts w:ascii="Arial" w:hAnsi="Arial" w:cs="Arial"/>
                <w:color w:val="010000"/>
                <w:sz w:val="20"/>
              </w:rPr>
              <w:t>70,298</w:t>
            </w:r>
          </w:p>
        </w:tc>
        <w:tc>
          <w:tcPr>
            <w:tcW w:w="1146" w:type="pct"/>
            <w:shd w:val="clear" w:color="auto" w:fill="auto"/>
            <w:tcMar>
              <w:top w:w="0" w:type="dxa"/>
              <w:bottom w:w="0" w:type="dxa"/>
            </w:tcMar>
            <w:vAlign w:val="center"/>
          </w:tcPr>
          <w:p w14:paraId="24B6F190" w14:textId="77777777" w:rsidR="002D4F36" w:rsidRPr="00175523" w:rsidRDefault="00BA5748" w:rsidP="00175523">
            <w:pPr>
              <w:pBdr>
                <w:top w:val="nil"/>
                <w:left w:val="nil"/>
                <w:bottom w:val="nil"/>
                <w:right w:val="nil"/>
                <w:between w:val="nil"/>
              </w:pBdr>
              <w:tabs>
                <w:tab w:val="left" w:pos="142"/>
              </w:tabs>
              <w:spacing w:after="120" w:line="360" w:lineRule="auto"/>
              <w:jc w:val="right"/>
              <w:rPr>
                <w:rFonts w:ascii="Arial" w:eastAsia="Arial" w:hAnsi="Arial" w:cs="Arial"/>
                <w:color w:val="010000"/>
                <w:sz w:val="20"/>
                <w:szCs w:val="20"/>
              </w:rPr>
            </w:pPr>
            <w:r w:rsidRPr="00175523">
              <w:rPr>
                <w:rFonts w:ascii="Arial" w:hAnsi="Arial" w:cs="Arial"/>
                <w:color w:val="010000"/>
                <w:sz w:val="20"/>
              </w:rPr>
              <w:t>6,281</w:t>
            </w:r>
          </w:p>
        </w:tc>
      </w:tr>
      <w:tr w:rsidR="002D4F36" w:rsidRPr="00175523" w14:paraId="30A216E2" w14:textId="77777777" w:rsidTr="00175523">
        <w:trPr>
          <w:jc w:val="center"/>
        </w:trPr>
        <w:tc>
          <w:tcPr>
            <w:tcW w:w="1708" w:type="pct"/>
            <w:shd w:val="clear" w:color="auto" w:fill="auto"/>
            <w:tcMar>
              <w:top w:w="0" w:type="dxa"/>
              <w:bottom w:w="0" w:type="dxa"/>
            </w:tcMar>
            <w:vAlign w:val="center"/>
          </w:tcPr>
          <w:p w14:paraId="42FAB58D" w14:textId="77777777" w:rsidR="002D4F36" w:rsidRPr="00175523" w:rsidRDefault="00BA5748" w:rsidP="00175523">
            <w:pPr>
              <w:pBdr>
                <w:top w:val="nil"/>
                <w:left w:val="nil"/>
                <w:bottom w:val="nil"/>
                <w:right w:val="nil"/>
                <w:between w:val="nil"/>
              </w:pBdr>
              <w:tabs>
                <w:tab w:val="left" w:pos="142"/>
              </w:tabs>
              <w:spacing w:after="120" w:line="360" w:lineRule="auto"/>
              <w:rPr>
                <w:rFonts w:ascii="Arial" w:eastAsia="Arial" w:hAnsi="Arial" w:cs="Arial"/>
                <w:color w:val="010000"/>
                <w:sz w:val="20"/>
                <w:szCs w:val="20"/>
              </w:rPr>
            </w:pPr>
            <w:r w:rsidRPr="00175523">
              <w:rPr>
                <w:rFonts w:ascii="Arial" w:hAnsi="Arial" w:cs="Arial"/>
                <w:color w:val="010000"/>
                <w:sz w:val="20"/>
              </w:rPr>
              <w:t>2/ Revenue</w:t>
            </w:r>
          </w:p>
        </w:tc>
        <w:tc>
          <w:tcPr>
            <w:tcW w:w="1007" w:type="pct"/>
            <w:shd w:val="clear" w:color="auto" w:fill="auto"/>
            <w:tcMar>
              <w:top w:w="0" w:type="dxa"/>
              <w:bottom w:w="0" w:type="dxa"/>
            </w:tcMar>
            <w:vAlign w:val="center"/>
          </w:tcPr>
          <w:p w14:paraId="2713B5C5" w14:textId="77777777" w:rsidR="002D4F36" w:rsidRPr="00175523" w:rsidRDefault="00BA5748" w:rsidP="00175523">
            <w:pPr>
              <w:pBdr>
                <w:top w:val="nil"/>
                <w:left w:val="nil"/>
                <w:bottom w:val="nil"/>
                <w:right w:val="nil"/>
                <w:between w:val="nil"/>
              </w:pBdr>
              <w:tabs>
                <w:tab w:val="left" w:pos="142"/>
              </w:tabs>
              <w:spacing w:after="120" w:line="360" w:lineRule="auto"/>
              <w:rPr>
                <w:rFonts w:ascii="Arial" w:eastAsia="Arial" w:hAnsi="Arial" w:cs="Arial"/>
                <w:color w:val="010000"/>
                <w:sz w:val="20"/>
                <w:szCs w:val="20"/>
              </w:rPr>
            </w:pPr>
            <w:r w:rsidRPr="00175523">
              <w:rPr>
                <w:rFonts w:ascii="Arial" w:hAnsi="Arial" w:cs="Arial"/>
                <w:color w:val="010000"/>
                <w:sz w:val="20"/>
              </w:rPr>
              <w:t>Million VND</w:t>
            </w:r>
          </w:p>
        </w:tc>
        <w:tc>
          <w:tcPr>
            <w:tcW w:w="1139" w:type="pct"/>
            <w:shd w:val="clear" w:color="auto" w:fill="auto"/>
            <w:tcMar>
              <w:top w:w="0" w:type="dxa"/>
              <w:bottom w:w="0" w:type="dxa"/>
            </w:tcMar>
            <w:vAlign w:val="center"/>
          </w:tcPr>
          <w:p w14:paraId="3A310E59" w14:textId="77777777" w:rsidR="002D4F36" w:rsidRPr="00175523" w:rsidRDefault="00BA5748" w:rsidP="00175523">
            <w:pPr>
              <w:pBdr>
                <w:top w:val="nil"/>
                <w:left w:val="nil"/>
                <w:bottom w:val="nil"/>
                <w:right w:val="nil"/>
                <w:between w:val="nil"/>
              </w:pBdr>
              <w:tabs>
                <w:tab w:val="left" w:pos="142"/>
              </w:tabs>
              <w:spacing w:after="120" w:line="360" w:lineRule="auto"/>
              <w:jc w:val="right"/>
              <w:rPr>
                <w:rFonts w:ascii="Arial" w:eastAsia="Arial" w:hAnsi="Arial" w:cs="Arial"/>
                <w:color w:val="010000"/>
                <w:sz w:val="20"/>
                <w:szCs w:val="20"/>
              </w:rPr>
            </w:pPr>
            <w:r w:rsidRPr="00175523">
              <w:rPr>
                <w:rFonts w:ascii="Arial" w:hAnsi="Arial" w:cs="Arial"/>
                <w:color w:val="010000"/>
                <w:sz w:val="20"/>
              </w:rPr>
              <w:t>2,777,214</w:t>
            </w:r>
          </w:p>
        </w:tc>
        <w:tc>
          <w:tcPr>
            <w:tcW w:w="1146" w:type="pct"/>
            <w:shd w:val="clear" w:color="auto" w:fill="auto"/>
            <w:tcMar>
              <w:top w:w="0" w:type="dxa"/>
              <w:bottom w:w="0" w:type="dxa"/>
            </w:tcMar>
            <w:vAlign w:val="center"/>
          </w:tcPr>
          <w:p w14:paraId="070046A0" w14:textId="77777777" w:rsidR="002D4F36" w:rsidRPr="00175523" w:rsidRDefault="00BA5748" w:rsidP="00175523">
            <w:pPr>
              <w:pBdr>
                <w:top w:val="nil"/>
                <w:left w:val="nil"/>
                <w:bottom w:val="nil"/>
                <w:right w:val="nil"/>
                <w:between w:val="nil"/>
              </w:pBdr>
              <w:tabs>
                <w:tab w:val="left" w:pos="142"/>
              </w:tabs>
              <w:spacing w:after="120" w:line="360" w:lineRule="auto"/>
              <w:jc w:val="right"/>
              <w:rPr>
                <w:rFonts w:ascii="Arial" w:eastAsia="Arial" w:hAnsi="Arial" w:cs="Arial"/>
                <w:color w:val="010000"/>
                <w:sz w:val="20"/>
                <w:szCs w:val="20"/>
              </w:rPr>
            </w:pPr>
            <w:r w:rsidRPr="00175523">
              <w:rPr>
                <w:rFonts w:ascii="Arial" w:hAnsi="Arial" w:cs="Arial"/>
                <w:color w:val="010000"/>
                <w:sz w:val="20"/>
              </w:rPr>
              <w:t>1,998,228</w:t>
            </w:r>
          </w:p>
        </w:tc>
      </w:tr>
      <w:tr w:rsidR="002D4F36" w:rsidRPr="00175523" w14:paraId="7B362377" w14:textId="77777777" w:rsidTr="00175523">
        <w:trPr>
          <w:jc w:val="center"/>
        </w:trPr>
        <w:tc>
          <w:tcPr>
            <w:tcW w:w="1708" w:type="pct"/>
            <w:shd w:val="clear" w:color="auto" w:fill="auto"/>
            <w:tcMar>
              <w:top w:w="0" w:type="dxa"/>
              <w:bottom w:w="0" w:type="dxa"/>
            </w:tcMar>
            <w:vAlign w:val="center"/>
          </w:tcPr>
          <w:p w14:paraId="55549CC4" w14:textId="77777777" w:rsidR="002D4F36" w:rsidRPr="00175523" w:rsidRDefault="00BA5748" w:rsidP="00175523">
            <w:pPr>
              <w:pBdr>
                <w:top w:val="nil"/>
                <w:left w:val="nil"/>
                <w:bottom w:val="nil"/>
                <w:right w:val="nil"/>
                <w:between w:val="nil"/>
              </w:pBdr>
              <w:tabs>
                <w:tab w:val="left" w:pos="142"/>
              </w:tabs>
              <w:spacing w:after="120" w:line="360" w:lineRule="auto"/>
              <w:rPr>
                <w:rFonts w:ascii="Arial" w:eastAsia="Arial" w:hAnsi="Arial" w:cs="Arial"/>
                <w:color w:val="010000"/>
                <w:sz w:val="20"/>
                <w:szCs w:val="20"/>
              </w:rPr>
            </w:pPr>
            <w:r w:rsidRPr="00175523">
              <w:rPr>
                <w:rFonts w:ascii="Arial" w:hAnsi="Arial" w:cs="Arial"/>
                <w:color w:val="010000"/>
                <w:sz w:val="20"/>
              </w:rPr>
              <w:t>3/ Depreciation of fixed assets</w:t>
            </w:r>
          </w:p>
        </w:tc>
        <w:tc>
          <w:tcPr>
            <w:tcW w:w="1007" w:type="pct"/>
            <w:shd w:val="clear" w:color="auto" w:fill="auto"/>
            <w:tcMar>
              <w:top w:w="0" w:type="dxa"/>
              <w:bottom w:w="0" w:type="dxa"/>
            </w:tcMar>
            <w:vAlign w:val="center"/>
          </w:tcPr>
          <w:p w14:paraId="2A0EDBAE" w14:textId="77777777" w:rsidR="002D4F36" w:rsidRPr="00175523" w:rsidRDefault="00BA5748" w:rsidP="00175523">
            <w:pPr>
              <w:pBdr>
                <w:top w:val="nil"/>
                <w:left w:val="nil"/>
                <w:bottom w:val="nil"/>
                <w:right w:val="nil"/>
                <w:between w:val="nil"/>
              </w:pBdr>
              <w:tabs>
                <w:tab w:val="left" w:pos="142"/>
              </w:tabs>
              <w:spacing w:after="120" w:line="360" w:lineRule="auto"/>
              <w:rPr>
                <w:rFonts w:ascii="Arial" w:eastAsia="Arial" w:hAnsi="Arial" w:cs="Arial"/>
                <w:color w:val="010000"/>
                <w:sz w:val="20"/>
                <w:szCs w:val="20"/>
              </w:rPr>
            </w:pPr>
            <w:r w:rsidRPr="00175523">
              <w:rPr>
                <w:rFonts w:ascii="Arial" w:hAnsi="Arial" w:cs="Arial"/>
                <w:color w:val="010000"/>
                <w:sz w:val="20"/>
              </w:rPr>
              <w:t>Million VND</w:t>
            </w:r>
          </w:p>
        </w:tc>
        <w:tc>
          <w:tcPr>
            <w:tcW w:w="1139" w:type="pct"/>
            <w:shd w:val="clear" w:color="auto" w:fill="auto"/>
            <w:tcMar>
              <w:top w:w="0" w:type="dxa"/>
              <w:bottom w:w="0" w:type="dxa"/>
            </w:tcMar>
            <w:vAlign w:val="center"/>
          </w:tcPr>
          <w:p w14:paraId="170E58D6" w14:textId="77777777" w:rsidR="002D4F36" w:rsidRPr="00175523" w:rsidRDefault="00BA5748" w:rsidP="00175523">
            <w:pPr>
              <w:pBdr>
                <w:top w:val="nil"/>
                <w:left w:val="nil"/>
                <w:bottom w:val="nil"/>
                <w:right w:val="nil"/>
                <w:between w:val="nil"/>
              </w:pBdr>
              <w:tabs>
                <w:tab w:val="left" w:pos="142"/>
              </w:tabs>
              <w:spacing w:after="120" w:line="360" w:lineRule="auto"/>
              <w:jc w:val="right"/>
              <w:rPr>
                <w:rFonts w:ascii="Arial" w:eastAsia="Arial" w:hAnsi="Arial" w:cs="Arial"/>
                <w:color w:val="010000"/>
                <w:sz w:val="20"/>
                <w:szCs w:val="20"/>
              </w:rPr>
            </w:pPr>
            <w:r w:rsidRPr="00175523">
              <w:rPr>
                <w:rFonts w:ascii="Arial" w:hAnsi="Arial" w:cs="Arial"/>
                <w:color w:val="010000"/>
                <w:sz w:val="20"/>
              </w:rPr>
              <w:t>165,332</w:t>
            </w:r>
          </w:p>
        </w:tc>
        <w:tc>
          <w:tcPr>
            <w:tcW w:w="1146" w:type="pct"/>
            <w:shd w:val="clear" w:color="auto" w:fill="auto"/>
            <w:tcMar>
              <w:top w:w="0" w:type="dxa"/>
              <w:bottom w:w="0" w:type="dxa"/>
            </w:tcMar>
            <w:vAlign w:val="center"/>
          </w:tcPr>
          <w:p w14:paraId="1C72CD2E" w14:textId="77777777" w:rsidR="002D4F36" w:rsidRPr="00175523" w:rsidRDefault="00BA5748" w:rsidP="00175523">
            <w:pPr>
              <w:pBdr>
                <w:top w:val="nil"/>
                <w:left w:val="nil"/>
                <w:bottom w:val="nil"/>
                <w:right w:val="nil"/>
                <w:between w:val="nil"/>
              </w:pBdr>
              <w:tabs>
                <w:tab w:val="left" w:pos="142"/>
              </w:tabs>
              <w:spacing w:after="120" w:line="360" w:lineRule="auto"/>
              <w:jc w:val="right"/>
              <w:rPr>
                <w:rFonts w:ascii="Arial" w:eastAsia="Arial" w:hAnsi="Arial" w:cs="Arial"/>
                <w:color w:val="010000"/>
                <w:sz w:val="20"/>
                <w:szCs w:val="20"/>
              </w:rPr>
            </w:pPr>
            <w:r w:rsidRPr="00175523">
              <w:rPr>
                <w:rFonts w:ascii="Arial" w:hAnsi="Arial" w:cs="Arial"/>
                <w:color w:val="010000"/>
                <w:sz w:val="20"/>
              </w:rPr>
              <w:t>154,428</w:t>
            </w:r>
          </w:p>
        </w:tc>
      </w:tr>
      <w:tr w:rsidR="002D4F36" w:rsidRPr="00175523" w14:paraId="09B98406" w14:textId="77777777" w:rsidTr="00175523">
        <w:trPr>
          <w:jc w:val="center"/>
        </w:trPr>
        <w:tc>
          <w:tcPr>
            <w:tcW w:w="1708" w:type="pct"/>
            <w:shd w:val="clear" w:color="auto" w:fill="auto"/>
            <w:tcMar>
              <w:top w:w="0" w:type="dxa"/>
              <w:bottom w:w="0" w:type="dxa"/>
            </w:tcMar>
            <w:vAlign w:val="center"/>
          </w:tcPr>
          <w:p w14:paraId="66FB908D" w14:textId="77777777" w:rsidR="002D4F36" w:rsidRPr="00175523" w:rsidRDefault="00BA5748" w:rsidP="00175523">
            <w:pPr>
              <w:pBdr>
                <w:top w:val="nil"/>
                <w:left w:val="nil"/>
                <w:bottom w:val="nil"/>
                <w:right w:val="nil"/>
                <w:between w:val="nil"/>
              </w:pBdr>
              <w:tabs>
                <w:tab w:val="left" w:pos="142"/>
              </w:tabs>
              <w:spacing w:after="120" w:line="360" w:lineRule="auto"/>
              <w:rPr>
                <w:rFonts w:ascii="Arial" w:eastAsia="Arial" w:hAnsi="Arial" w:cs="Arial"/>
                <w:color w:val="010000"/>
                <w:sz w:val="20"/>
                <w:szCs w:val="20"/>
              </w:rPr>
            </w:pPr>
            <w:r w:rsidRPr="00175523">
              <w:rPr>
                <w:rFonts w:ascii="Arial" w:hAnsi="Arial" w:cs="Arial"/>
                <w:color w:val="010000"/>
                <w:sz w:val="20"/>
              </w:rPr>
              <w:t>4/ Receivables</w:t>
            </w:r>
          </w:p>
        </w:tc>
        <w:tc>
          <w:tcPr>
            <w:tcW w:w="1007" w:type="pct"/>
            <w:shd w:val="clear" w:color="auto" w:fill="auto"/>
            <w:tcMar>
              <w:top w:w="0" w:type="dxa"/>
              <w:bottom w:w="0" w:type="dxa"/>
            </w:tcMar>
            <w:vAlign w:val="center"/>
          </w:tcPr>
          <w:p w14:paraId="5BE56908" w14:textId="77777777" w:rsidR="002D4F36" w:rsidRPr="00175523" w:rsidRDefault="00BA5748" w:rsidP="00175523">
            <w:pPr>
              <w:pBdr>
                <w:top w:val="nil"/>
                <w:left w:val="nil"/>
                <w:bottom w:val="nil"/>
                <w:right w:val="nil"/>
                <w:between w:val="nil"/>
              </w:pBdr>
              <w:tabs>
                <w:tab w:val="left" w:pos="142"/>
              </w:tabs>
              <w:spacing w:after="120" w:line="360" w:lineRule="auto"/>
              <w:rPr>
                <w:rFonts w:ascii="Arial" w:eastAsia="Arial" w:hAnsi="Arial" w:cs="Arial"/>
                <w:color w:val="010000"/>
                <w:sz w:val="20"/>
                <w:szCs w:val="20"/>
              </w:rPr>
            </w:pPr>
            <w:r w:rsidRPr="00175523">
              <w:rPr>
                <w:rFonts w:ascii="Arial" w:hAnsi="Arial" w:cs="Arial"/>
                <w:color w:val="010000"/>
                <w:sz w:val="20"/>
              </w:rPr>
              <w:t>Million VND</w:t>
            </w:r>
          </w:p>
        </w:tc>
        <w:tc>
          <w:tcPr>
            <w:tcW w:w="1139" w:type="pct"/>
            <w:shd w:val="clear" w:color="auto" w:fill="auto"/>
            <w:tcMar>
              <w:top w:w="0" w:type="dxa"/>
              <w:bottom w:w="0" w:type="dxa"/>
            </w:tcMar>
            <w:vAlign w:val="center"/>
          </w:tcPr>
          <w:p w14:paraId="0AFB42C2" w14:textId="77777777" w:rsidR="002D4F36" w:rsidRPr="00175523" w:rsidRDefault="00BA5748" w:rsidP="00175523">
            <w:pPr>
              <w:pBdr>
                <w:top w:val="nil"/>
                <w:left w:val="nil"/>
                <w:bottom w:val="nil"/>
                <w:right w:val="nil"/>
                <w:between w:val="nil"/>
              </w:pBdr>
              <w:tabs>
                <w:tab w:val="left" w:pos="142"/>
              </w:tabs>
              <w:spacing w:after="120" w:line="360" w:lineRule="auto"/>
              <w:jc w:val="right"/>
              <w:rPr>
                <w:rFonts w:ascii="Arial" w:eastAsia="Arial" w:hAnsi="Arial" w:cs="Arial"/>
                <w:color w:val="010000"/>
                <w:sz w:val="20"/>
                <w:szCs w:val="20"/>
              </w:rPr>
            </w:pPr>
            <w:r w:rsidRPr="00175523">
              <w:rPr>
                <w:rFonts w:ascii="Arial" w:hAnsi="Arial" w:cs="Arial"/>
                <w:color w:val="010000"/>
                <w:sz w:val="20"/>
              </w:rPr>
              <w:t>34,500</w:t>
            </w:r>
          </w:p>
        </w:tc>
        <w:tc>
          <w:tcPr>
            <w:tcW w:w="1146" w:type="pct"/>
            <w:shd w:val="clear" w:color="auto" w:fill="auto"/>
            <w:tcMar>
              <w:top w:w="0" w:type="dxa"/>
              <w:bottom w:w="0" w:type="dxa"/>
            </w:tcMar>
            <w:vAlign w:val="center"/>
          </w:tcPr>
          <w:p w14:paraId="643CC0B3" w14:textId="77777777" w:rsidR="002D4F36" w:rsidRPr="00175523" w:rsidRDefault="00BA5748" w:rsidP="00175523">
            <w:pPr>
              <w:pBdr>
                <w:top w:val="nil"/>
                <w:left w:val="nil"/>
                <w:bottom w:val="nil"/>
                <w:right w:val="nil"/>
                <w:between w:val="nil"/>
              </w:pBdr>
              <w:tabs>
                <w:tab w:val="left" w:pos="142"/>
              </w:tabs>
              <w:spacing w:after="120" w:line="360" w:lineRule="auto"/>
              <w:jc w:val="right"/>
              <w:rPr>
                <w:rFonts w:ascii="Arial" w:eastAsia="Arial" w:hAnsi="Arial" w:cs="Arial"/>
                <w:color w:val="010000"/>
                <w:sz w:val="20"/>
                <w:szCs w:val="20"/>
              </w:rPr>
            </w:pPr>
            <w:r w:rsidRPr="00175523">
              <w:rPr>
                <w:rFonts w:ascii="Arial" w:hAnsi="Arial" w:cs="Arial"/>
                <w:color w:val="010000"/>
                <w:sz w:val="20"/>
              </w:rPr>
              <w:t>50,261</w:t>
            </w:r>
          </w:p>
        </w:tc>
      </w:tr>
    </w:tbl>
    <w:p w14:paraId="2D0A8A5C" w14:textId="2449EA73" w:rsidR="002D4F36" w:rsidRPr="00175523" w:rsidRDefault="00BA5748" w:rsidP="00175523">
      <w:pPr>
        <w:pBdr>
          <w:top w:val="nil"/>
          <w:left w:val="nil"/>
          <w:bottom w:val="nil"/>
          <w:right w:val="nil"/>
          <w:between w:val="nil"/>
        </w:pBdr>
        <w:tabs>
          <w:tab w:val="left" w:pos="142"/>
        </w:tabs>
        <w:spacing w:after="120" w:line="360" w:lineRule="auto"/>
        <w:rPr>
          <w:rFonts w:ascii="Arial" w:eastAsia="Arial" w:hAnsi="Arial" w:cs="Arial"/>
          <w:color w:val="010000"/>
          <w:sz w:val="20"/>
          <w:szCs w:val="20"/>
        </w:rPr>
      </w:pPr>
      <w:r w:rsidRPr="00175523">
        <w:rPr>
          <w:rFonts w:ascii="Arial" w:hAnsi="Arial" w:cs="Arial"/>
          <w:color w:val="010000"/>
          <w:sz w:val="20"/>
        </w:rPr>
        <w:t>Article 2: Approve the Report of the Board of Directors in 2023 and the production and business orientation for 2024</w:t>
      </w:r>
      <w:r w:rsidR="00327174" w:rsidRPr="00175523">
        <w:rPr>
          <w:rFonts w:ascii="Arial" w:hAnsi="Arial" w:cs="Arial"/>
          <w:color w:val="010000"/>
          <w:sz w:val="20"/>
        </w:rPr>
        <w:t xml:space="preserve"> (detailed Report attached).</w:t>
      </w:r>
    </w:p>
    <w:p w14:paraId="086ABD66" w14:textId="77777777" w:rsidR="002D4F36" w:rsidRPr="00175523" w:rsidRDefault="00BA5748" w:rsidP="00175523">
      <w:pPr>
        <w:pBdr>
          <w:top w:val="nil"/>
          <w:left w:val="nil"/>
          <w:bottom w:val="nil"/>
          <w:right w:val="nil"/>
          <w:between w:val="nil"/>
        </w:pBdr>
        <w:tabs>
          <w:tab w:val="left" w:pos="142"/>
        </w:tabs>
        <w:spacing w:after="120" w:line="360" w:lineRule="auto"/>
        <w:rPr>
          <w:rFonts w:ascii="Arial" w:eastAsia="Arial" w:hAnsi="Arial" w:cs="Arial"/>
          <w:color w:val="010000"/>
          <w:sz w:val="20"/>
          <w:szCs w:val="20"/>
        </w:rPr>
      </w:pPr>
      <w:r w:rsidRPr="00175523">
        <w:rPr>
          <w:rFonts w:ascii="Arial" w:hAnsi="Arial" w:cs="Arial"/>
          <w:color w:val="010000"/>
          <w:sz w:val="20"/>
        </w:rPr>
        <w:t>Article 3: Approve the Report on the management of production and business activities of the Supervisory Board in 2023:</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4"/>
        <w:gridCol w:w="4222"/>
        <w:gridCol w:w="833"/>
        <w:gridCol w:w="3318"/>
      </w:tblGrid>
      <w:tr w:rsidR="002D4F36" w:rsidRPr="00175523" w14:paraId="791C7323" w14:textId="77777777" w:rsidTr="00175523">
        <w:tc>
          <w:tcPr>
            <w:tcW w:w="357" w:type="pct"/>
            <w:shd w:val="clear" w:color="auto" w:fill="auto"/>
            <w:tcMar>
              <w:top w:w="0" w:type="dxa"/>
              <w:bottom w:w="0" w:type="dxa"/>
            </w:tcMar>
            <w:vAlign w:val="center"/>
          </w:tcPr>
          <w:p w14:paraId="01F09A98" w14:textId="77777777" w:rsidR="002D4F36" w:rsidRPr="00175523" w:rsidRDefault="00BA5748" w:rsidP="00175523">
            <w:pPr>
              <w:pBdr>
                <w:top w:val="nil"/>
                <w:left w:val="nil"/>
                <w:bottom w:val="nil"/>
                <w:right w:val="nil"/>
                <w:between w:val="nil"/>
              </w:pBdr>
              <w:tabs>
                <w:tab w:val="left" w:pos="142"/>
              </w:tabs>
              <w:spacing w:after="120" w:line="360" w:lineRule="auto"/>
              <w:jc w:val="center"/>
              <w:rPr>
                <w:rFonts w:ascii="Arial" w:eastAsia="Arial" w:hAnsi="Arial" w:cs="Arial"/>
                <w:color w:val="010000"/>
                <w:sz w:val="20"/>
                <w:szCs w:val="20"/>
              </w:rPr>
            </w:pPr>
            <w:r w:rsidRPr="00175523">
              <w:rPr>
                <w:rFonts w:ascii="Arial" w:hAnsi="Arial" w:cs="Arial"/>
                <w:color w:val="010000"/>
                <w:sz w:val="20"/>
              </w:rPr>
              <w:t>No.</w:t>
            </w:r>
          </w:p>
        </w:tc>
        <w:tc>
          <w:tcPr>
            <w:tcW w:w="2341" w:type="pct"/>
            <w:shd w:val="clear" w:color="auto" w:fill="auto"/>
            <w:tcMar>
              <w:top w:w="0" w:type="dxa"/>
              <w:bottom w:w="0" w:type="dxa"/>
            </w:tcMar>
            <w:vAlign w:val="center"/>
          </w:tcPr>
          <w:p w14:paraId="066776F7" w14:textId="77777777" w:rsidR="002D4F36" w:rsidRPr="00175523" w:rsidRDefault="00BA5748" w:rsidP="00175523">
            <w:pPr>
              <w:pBdr>
                <w:top w:val="nil"/>
                <w:left w:val="nil"/>
                <w:bottom w:val="nil"/>
                <w:right w:val="nil"/>
                <w:between w:val="nil"/>
              </w:pBdr>
              <w:tabs>
                <w:tab w:val="left" w:pos="142"/>
              </w:tabs>
              <w:spacing w:after="120" w:line="360" w:lineRule="auto"/>
              <w:jc w:val="center"/>
              <w:rPr>
                <w:rFonts w:ascii="Arial" w:eastAsia="Arial" w:hAnsi="Arial" w:cs="Arial"/>
                <w:color w:val="010000"/>
                <w:sz w:val="20"/>
                <w:szCs w:val="20"/>
              </w:rPr>
            </w:pPr>
            <w:r w:rsidRPr="00175523">
              <w:rPr>
                <w:rFonts w:ascii="Arial" w:hAnsi="Arial" w:cs="Arial"/>
                <w:color w:val="010000"/>
                <w:sz w:val="20"/>
              </w:rPr>
              <w:t>Target</w:t>
            </w:r>
          </w:p>
        </w:tc>
        <w:tc>
          <w:tcPr>
            <w:tcW w:w="462" w:type="pct"/>
            <w:shd w:val="clear" w:color="auto" w:fill="auto"/>
            <w:tcMar>
              <w:top w:w="0" w:type="dxa"/>
              <w:bottom w:w="0" w:type="dxa"/>
            </w:tcMar>
            <w:vAlign w:val="center"/>
          </w:tcPr>
          <w:p w14:paraId="4A4B889F" w14:textId="77777777" w:rsidR="002D4F36" w:rsidRPr="00175523" w:rsidRDefault="00BA5748" w:rsidP="00175523">
            <w:pPr>
              <w:pBdr>
                <w:top w:val="nil"/>
                <w:left w:val="nil"/>
                <w:bottom w:val="nil"/>
                <w:right w:val="nil"/>
                <w:between w:val="nil"/>
              </w:pBdr>
              <w:tabs>
                <w:tab w:val="left" w:pos="142"/>
              </w:tabs>
              <w:spacing w:after="120" w:line="360" w:lineRule="auto"/>
              <w:jc w:val="center"/>
              <w:rPr>
                <w:rFonts w:ascii="Arial" w:eastAsia="Arial" w:hAnsi="Arial" w:cs="Arial"/>
                <w:color w:val="010000"/>
                <w:sz w:val="20"/>
                <w:szCs w:val="20"/>
              </w:rPr>
            </w:pPr>
            <w:r w:rsidRPr="00175523">
              <w:rPr>
                <w:rFonts w:ascii="Arial" w:hAnsi="Arial" w:cs="Arial"/>
                <w:color w:val="010000"/>
                <w:sz w:val="20"/>
              </w:rPr>
              <w:t>Unit</w:t>
            </w:r>
          </w:p>
        </w:tc>
        <w:tc>
          <w:tcPr>
            <w:tcW w:w="1840" w:type="pct"/>
            <w:shd w:val="clear" w:color="auto" w:fill="auto"/>
            <w:tcMar>
              <w:top w:w="0" w:type="dxa"/>
              <w:bottom w:w="0" w:type="dxa"/>
            </w:tcMar>
            <w:vAlign w:val="center"/>
          </w:tcPr>
          <w:p w14:paraId="4EC510A5" w14:textId="77777777" w:rsidR="002D4F36" w:rsidRPr="00175523" w:rsidRDefault="00BA5748" w:rsidP="00175523">
            <w:pPr>
              <w:pBdr>
                <w:top w:val="nil"/>
                <w:left w:val="nil"/>
                <w:bottom w:val="nil"/>
                <w:right w:val="nil"/>
                <w:between w:val="nil"/>
              </w:pBdr>
              <w:tabs>
                <w:tab w:val="left" w:pos="142"/>
              </w:tabs>
              <w:spacing w:after="120" w:line="360" w:lineRule="auto"/>
              <w:jc w:val="center"/>
              <w:rPr>
                <w:rFonts w:ascii="Arial" w:eastAsia="Arial" w:hAnsi="Arial" w:cs="Arial"/>
                <w:color w:val="010000"/>
                <w:sz w:val="20"/>
                <w:szCs w:val="20"/>
              </w:rPr>
            </w:pPr>
            <w:r w:rsidRPr="00175523">
              <w:rPr>
                <w:rFonts w:ascii="Arial" w:hAnsi="Arial" w:cs="Arial"/>
                <w:color w:val="010000"/>
                <w:sz w:val="20"/>
              </w:rPr>
              <w:t>Value (VND)</w:t>
            </w:r>
          </w:p>
        </w:tc>
      </w:tr>
      <w:tr w:rsidR="002D4F36" w:rsidRPr="00175523" w14:paraId="6D0B192E" w14:textId="77777777" w:rsidTr="00175523">
        <w:tc>
          <w:tcPr>
            <w:tcW w:w="357" w:type="pct"/>
            <w:shd w:val="clear" w:color="auto" w:fill="auto"/>
            <w:tcMar>
              <w:top w:w="0" w:type="dxa"/>
              <w:bottom w:w="0" w:type="dxa"/>
            </w:tcMar>
            <w:vAlign w:val="center"/>
          </w:tcPr>
          <w:p w14:paraId="537A06D1" w14:textId="77777777" w:rsidR="002D4F36" w:rsidRPr="00175523" w:rsidRDefault="00BA5748" w:rsidP="00175523">
            <w:pPr>
              <w:pBdr>
                <w:top w:val="nil"/>
                <w:left w:val="nil"/>
                <w:bottom w:val="nil"/>
                <w:right w:val="nil"/>
                <w:between w:val="nil"/>
              </w:pBdr>
              <w:tabs>
                <w:tab w:val="left" w:pos="142"/>
              </w:tabs>
              <w:spacing w:after="120" w:line="360" w:lineRule="auto"/>
              <w:jc w:val="center"/>
              <w:rPr>
                <w:rFonts w:ascii="Arial" w:eastAsia="Arial" w:hAnsi="Arial" w:cs="Arial"/>
                <w:color w:val="010000"/>
                <w:sz w:val="20"/>
                <w:szCs w:val="20"/>
              </w:rPr>
            </w:pPr>
            <w:r w:rsidRPr="00175523">
              <w:rPr>
                <w:rFonts w:ascii="Arial" w:hAnsi="Arial" w:cs="Arial"/>
                <w:color w:val="010000"/>
                <w:sz w:val="20"/>
              </w:rPr>
              <w:t>1</w:t>
            </w:r>
          </w:p>
        </w:tc>
        <w:tc>
          <w:tcPr>
            <w:tcW w:w="2341" w:type="pct"/>
            <w:shd w:val="clear" w:color="auto" w:fill="auto"/>
            <w:tcMar>
              <w:top w:w="0" w:type="dxa"/>
              <w:bottom w:w="0" w:type="dxa"/>
            </w:tcMar>
            <w:vAlign w:val="center"/>
          </w:tcPr>
          <w:p w14:paraId="0B645892" w14:textId="77777777" w:rsidR="002D4F36" w:rsidRPr="00175523" w:rsidRDefault="00BA5748" w:rsidP="00175523">
            <w:pPr>
              <w:pBdr>
                <w:top w:val="nil"/>
                <w:left w:val="nil"/>
                <w:bottom w:val="nil"/>
                <w:right w:val="nil"/>
                <w:between w:val="nil"/>
              </w:pBdr>
              <w:tabs>
                <w:tab w:val="left" w:pos="142"/>
              </w:tabs>
              <w:spacing w:after="120" w:line="360" w:lineRule="auto"/>
              <w:rPr>
                <w:rFonts w:ascii="Arial" w:eastAsia="Arial" w:hAnsi="Arial" w:cs="Arial"/>
                <w:color w:val="010000"/>
                <w:sz w:val="20"/>
                <w:szCs w:val="20"/>
              </w:rPr>
            </w:pPr>
            <w:r w:rsidRPr="00175523">
              <w:rPr>
                <w:rFonts w:ascii="Arial" w:hAnsi="Arial" w:cs="Arial"/>
                <w:color w:val="010000"/>
                <w:sz w:val="20"/>
              </w:rPr>
              <w:t>Production volume</w:t>
            </w:r>
          </w:p>
        </w:tc>
        <w:tc>
          <w:tcPr>
            <w:tcW w:w="462" w:type="pct"/>
            <w:shd w:val="clear" w:color="auto" w:fill="auto"/>
            <w:tcMar>
              <w:top w:w="0" w:type="dxa"/>
              <w:bottom w:w="0" w:type="dxa"/>
            </w:tcMar>
            <w:vAlign w:val="center"/>
          </w:tcPr>
          <w:p w14:paraId="23A687F2" w14:textId="77777777" w:rsidR="002D4F36" w:rsidRPr="00175523" w:rsidRDefault="00BA5748" w:rsidP="00175523">
            <w:pPr>
              <w:pBdr>
                <w:top w:val="nil"/>
                <w:left w:val="nil"/>
                <w:bottom w:val="nil"/>
                <w:right w:val="nil"/>
                <w:between w:val="nil"/>
              </w:pBdr>
              <w:tabs>
                <w:tab w:val="left" w:pos="142"/>
              </w:tabs>
              <w:spacing w:after="120" w:line="360" w:lineRule="auto"/>
              <w:jc w:val="center"/>
              <w:rPr>
                <w:rFonts w:ascii="Arial" w:eastAsia="Arial" w:hAnsi="Arial" w:cs="Arial"/>
                <w:color w:val="010000"/>
                <w:sz w:val="20"/>
                <w:szCs w:val="20"/>
              </w:rPr>
            </w:pPr>
            <w:r w:rsidRPr="00175523">
              <w:rPr>
                <w:rFonts w:ascii="Arial" w:hAnsi="Arial" w:cs="Arial"/>
                <w:color w:val="010000"/>
                <w:sz w:val="20"/>
              </w:rPr>
              <w:t>m2</w:t>
            </w:r>
          </w:p>
        </w:tc>
        <w:tc>
          <w:tcPr>
            <w:tcW w:w="1840" w:type="pct"/>
            <w:shd w:val="clear" w:color="auto" w:fill="auto"/>
            <w:tcMar>
              <w:top w:w="0" w:type="dxa"/>
              <w:bottom w:w="0" w:type="dxa"/>
            </w:tcMar>
            <w:vAlign w:val="center"/>
          </w:tcPr>
          <w:p w14:paraId="46BA1D84" w14:textId="77777777" w:rsidR="002D4F36" w:rsidRPr="00175523" w:rsidRDefault="00BA5748" w:rsidP="00175523">
            <w:pPr>
              <w:pBdr>
                <w:top w:val="nil"/>
                <w:left w:val="nil"/>
                <w:bottom w:val="nil"/>
                <w:right w:val="nil"/>
                <w:between w:val="nil"/>
              </w:pBdr>
              <w:tabs>
                <w:tab w:val="left" w:pos="142"/>
              </w:tabs>
              <w:spacing w:after="120" w:line="360" w:lineRule="auto"/>
              <w:jc w:val="right"/>
              <w:rPr>
                <w:rFonts w:ascii="Arial" w:eastAsia="Arial" w:hAnsi="Arial" w:cs="Arial"/>
                <w:color w:val="010000"/>
                <w:sz w:val="20"/>
                <w:szCs w:val="20"/>
              </w:rPr>
            </w:pPr>
            <w:r w:rsidRPr="00175523">
              <w:rPr>
                <w:rFonts w:ascii="Arial" w:hAnsi="Arial" w:cs="Arial"/>
                <w:color w:val="010000"/>
                <w:sz w:val="20"/>
              </w:rPr>
              <w:t>15,473,000</w:t>
            </w:r>
          </w:p>
        </w:tc>
      </w:tr>
      <w:tr w:rsidR="002D4F36" w:rsidRPr="00175523" w14:paraId="32868C34" w14:textId="77777777" w:rsidTr="00175523">
        <w:tc>
          <w:tcPr>
            <w:tcW w:w="357" w:type="pct"/>
            <w:shd w:val="clear" w:color="auto" w:fill="auto"/>
            <w:tcMar>
              <w:top w:w="0" w:type="dxa"/>
              <w:bottom w:w="0" w:type="dxa"/>
            </w:tcMar>
            <w:vAlign w:val="center"/>
          </w:tcPr>
          <w:p w14:paraId="5DD1FDCF" w14:textId="77777777" w:rsidR="002D4F36" w:rsidRPr="00175523" w:rsidRDefault="00BA5748" w:rsidP="00175523">
            <w:pPr>
              <w:pBdr>
                <w:top w:val="nil"/>
                <w:left w:val="nil"/>
                <w:bottom w:val="nil"/>
                <w:right w:val="nil"/>
                <w:between w:val="nil"/>
              </w:pBdr>
              <w:tabs>
                <w:tab w:val="left" w:pos="142"/>
              </w:tabs>
              <w:spacing w:after="120" w:line="360" w:lineRule="auto"/>
              <w:jc w:val="center"/>
              <w:rPr>
                <w:rFonts w:ascii="Arial" w:eastAsia="Arial" w:hAnsi="Arial" w:cs="Arial"/>
                <w:color w:val="010000"/>
                <w:sz w:val="20"/>
                <w:szCs w:val="20"/>
              </w:rPr>
            </w:pPr>
            <w:r w:rsidRPr="00175523">
              <w:rPr>
                <w:rFonts w:ascii="Arial" w:hAnsi="Arial" w:cs="Arial"/>
                <w:color w:val="010000"/>
                <w:sz w:val="20"/>
              </w:rPr>
              <w:t>2</w:t>
            </w:r>
          </w:p>
        </w:tc>
        <w:tc>
          <w:tcPr>
            <w:tcW w:w="2341" w:type="pct"/>
            <w:shd w:val="clear" w:color="auto" w:fill="auto"/>
            <w:tcMar>
              <w:top w:w="0" w:type="dxa"/>
              <w:bottom w:w="0" w:type="dxa"/>
            </w:tcMar>
            <w:vAlign w:val="center"/>
          </w:tcPr>
          <w:p w14:paraId="5C02D107" w14:textId="77777777" w:rsidR="002D4F36" w:rsidRPr="00175523" w:rsidRDefault="00BA5748" w:rsidP="00175523">
            <w:pPr>
              <w:pBdr>
                <w:top w:val="nil"/>
                <w:left w:val="nil"/>
                <w:bottom w:val="nil"/>
                <w:right w:val="nil"/>
                <w:between w:val="nil"/>
              </w:pBdr>
              <w:tabs>
                <w:tab w:val="left" w:pos="142"/>
              </w:tabs>
              <w:spacing w:after="120" w:line="360" w:lineRule="auto"/>
              <w:rPr>
                <w:rFonts w:ascii="Arial" w:eastAsia="Arial" w:hAnsi="Arial" w:cs="Arial"/>
                <w:color w:val="010000"/>
                <w:sz w:val="20"/>
                <w:szCs w:val="20"/>
              </w:rPr>
            </w:pPr>
            <w:r w:rsidRPr="00175523">
              <w:rPr>
                <w:rFonts w:ascii="Arial" w:hAnsi="Arial" w:cs="Arial"/>
                <w:color w:val="010000"/>
                <w:sz w:val="20"/>
              </w:rPr>
              <w:t>Net revenue</w:t>
            </w:r>
          </w:p>
        </w:tc>
        <w:tc>
          <w:tcPr>
            <w:tcW w:w="462" w:type="pct"/>
            <w:shd w:val="clear" w:color="auto" w:fill="auto"/>
            <w:tcMar>
              <w:top w:w="0" w:type="dxa"/>
              <w:bottom w:w="0" w:type="dxa"/>
            </w:tcMar>
            <w:vAlign w:val="center"/>
          </w:tcPr>
          <w:p w14:paraId="7319E9C8" w14:textId="77777777" w:rsidR="002D4F36" w:rsidRPr="00175523" w:rsidRDefault="00BA5748" w:rsidP="00175523">
            <w:pPr>
              <w:pBdr>
                <w:top w:val="nil"/>
                <w:left w:val="nil"/>
                <w:bottom w:val="nil"/>
                <w:right w:val="nil"/>
                <w:between w:val="nil"/>
              </w:pBdr>
              <w:tabs>
                <w:tab w:val="left" w:pos="142"/>
              </w:tabs>
              <w:spacing w:after="120" w:line="360" w:lineRule="auto"/>
              <w:jc w:val="center"/>
              <w:rPr>
                <w:rFonts w:ascii="Arial" w:eastAsia="Arial" w:hAnsi="Arial" w:cs="Arial"/>
                <w:color w:val="010000"/>
                <w:sz w:val="20"/>
                <w:szCs w:val="20"/>
              </w:rPr>
            </w:pPr>
            <w:r w:rsidRPr="00175523">
              <w:rPr>
                <w:rFonts w:ascii="Arial" w:hAnsi="Arial" w:cs="Arial"/>
                <w:color w:val="010000"/>
                <w:sz w:val="20"/>
              </w:rPr>
              <w:t>VND</w:t>
            </w:r>
          </w:p>
        </w:tc>
        <w:tc>
          <w:tcPr>
            <w:tcW w:w="1840" w:type="pct"/>
            <w:shd w:val="clear" w:color="auto" w:fill="auto"/>
            <w:tcMar>
              <w:top w:w="0" w:type="dxa"/>
              <w:bottom w:w="0" w:type="dxa"/>
            </w:tcMar>
            <w:vAlign w:val="center"/>
          </w:tcPr>
          <w:p w14:paraId="442AA19B" w14:textId="77777777" w:rsidR="002D4F36" w:rsidRPr="00175523" w:rsidRDefault="00BA5748" w:rsidP="00175523">
            <w:pPr>
              <w:pBdr>
                <w:top w:val="nil"/>
                <w:left w:val="nil"/>
                <w:bottom w:val="nil"/>
                <w:right w:val="nil"/>
                <w:between w:val="nil"/>
              </w:pBdr>
              <w:tabs>
                <w:tab w:val="left" w:pos="142"/>
              </w:tabs>
              <w:spacing w:after="120" w:line="360" w:lineRule="auto"/>
              <w:jc w:val="right"/>
              <w:rPr>
                <w:rFonts w:ascii="Arial" w:eastAsia="Arial" w:hAnsi="Arial" w:cs="Arial"/>
                <w:color w:val="010000"/>
                <w:sz w:val="20"/>
                <w:szCs w:val="20"/>
              </w:rPr>
            </w:pPr>
            <w:r w:rsidRPr="00175523">
              <w:rPr>
                <w:rFonts w:ascii="Arial" w:hAnsi="Arial" w:cs="Arial"/>
                <w:color w:val="010000"/>
                <w:sz w:val="20"/>
              </w:rPr>
              <w:t>1,998,228,113,094</w:t>
            </w:r>
          </w:p>
        </w:tc>
      </w:tr>
      <w:tr w:rsidR="002D4F36" w:rsidRPr="00175523" w14:paraId="08484720" w14:textId="77777777" w:rsidTr="00175523">
        <w:tc>
          <w:tcPr>
            <w:tcW w:w="357" w:type="pct"/>
            <w:shd w:val="clear" w:color="auto" w:fill="auto"/>
            <w:tcMar>
              <w:top w:w="0" w:type="dxa"/>
              <w:bottom w:w="0" w:type="dxa"/>
            </w:tcMar>
            <w:vAlign w:val="center"/>
          </w:tcPr>
          <w:p w14:paraId="6EBD7902" w14:textId="77777777" w:rsidR="002D4F36" w:rsidRPr="00175523" w:rsidRDefault="00BA5748" w:rsidP="00175523">
            <w:pPr>
              <w:pBdr>
                <w:top w:val="nil"/>
                <w:left w:val="nil"/>
                <w:bottom w:val="nil"/>
                <w:right w:val="nil"/>
                <w:between w:val="nil"/>
              </w:pBdr>
              <w:tabs>
                <w:tab w:val="left" w:pos="142"/>
              </w:tabs>
              <w:spacing w:after="120" w:line="360" w:lineRule="auto"/>
              <w:jc w:val="center"/>
              <w:rPr>
                <w:rFonts w:ascii="Arial" w:eastAsia="Arial" w:hAnsi="Arial" w:cs="Arial"/>
                <w:color w:val="010000"/>
                <w:sz w:val="20"/>
                <w:szCs w:val="20"/>
              </w:rPr>
            </w:pPr>
            <w:r w:rsidRPr="00175523">
              <w:rPr>
                <w:rFonts w:ascii="Arial" w:hAnsi="Arial" w:cs="Arial"/>
                <w:color w:val="010000"/>
                <w:sz w:val="20"/>
              </w:rPr>
              <w:t>3</w:t>
            </w:r>
          </w:p>
        </w:tc>
        <w:tc>
          <w:tcPr>
            <w:tcW w:w="2341" w:type="pct"/>
            <w:shd w:val="clear" w:color="auto" w:fill="auto"/>
            <w:tcMar>
              <w:top w:w="0" w:type="dxa"/>
              <w:bottom w:w="0" w:type="dxa"/>
            </w:tcMar>
            <w:vAlign w:val="center"/>
          </w:tcPr>
          <w:p w14:paraId="75D844EC" w14:textId="77777777" w:rsidR="002D4F36" w:rsidRPr="00175523" w:rsidRDefault="00BA5748" w:rsidP="00175523">
            <w:pPr>
              <w:pBdr>
                <w:top w:val="nil"/>
                <w:left w:val="nil"/>
                <w:bottom w:val="nil"/>
                <w:right w:val="nil"/>
                <w:between w:val="nil"/>
              </w:pBdr>
              <w:tabs>
                <w:tab w:val="left" w:pos="142"/>
              </w:tabs>
              <w:spacing w:after="120" w:line="360" w:lineRule="auto"/>
              <w:rPr>
                <w:rFonts w:ascii="Arial" w:eastAsia="Arial" w:hAnsi="Arial" w:cs="Arial"/>
                <w:color w:val="010000"/>
                <w:sz w:val="20"/>
                <w:szCs w:val="20"/>
              </w:rPr>
            </w:pPr>
            <w:r w:rsidRPr="00175523">
              <w:rPr>
                <w:rFonts w:ascii="Arial" w:hAnsi="Arial" w:cs="Arial"/>
                <w:color w:val="010000"/>
                <w:sz w:val="20"/>
              </w:rPr>
              <w:t>Charter capital</w:t>
            </w:r>
          </w:p>
        </w:tc>
        <w:tc>
          <w:tcPr>
            <w:tcW w:w="462" w:type="pct"/>
            <w:shd w:val="clear" w:color="auto" w:fill="auto"/>
            <w:tcMar>
              <w:top w:w="0" w:type="dxa"/>
              <w:bottom w:w="0" w:type="dxa"/>
            </w:tcMar>
            <w:vAlign w:val="center"/>
          </w:tcPr>
          <w:p w14:paraId="04D9140A" w14:textId="77777777" w:rsidR="002D4F36" w:rsidRPr="00175523" w:rsidRDefault="00BA5748" w:rsidP="00175523">
            <w:pPr>
              <w:pBdr>
                <w:top w:val="nil"/>
                <w:left w:val="nil"/>
                <w:bottom w:val="nil"/>
                <w:right w:val="nil"/>
                <w:between w:val="nil"/>
              </w:pBdr>
              <w:tabs>
                <w:tab w:val="left" w:pos="142"/>
              </w:tabs>
              <w:spacing w:after="120" w:line="360" w:lineRule="auto"/>
              <w:jc w:val="center"/>
              <w:rPr>
                <w:rFonts w:ascii="Arial" w:eastAsia="Arial" w:hAnsi="Arial" w:cs="Arial"/>
                <w:color w:val="010000"/>
                <w:sz w:val="20"/>
                <w:szCs w:val="20"/>
              </w:rPr>
            </w:pPr>
            <w:r w:rsidRPr="00175523">
              <w:rPr>
                <w:rFonts w:ascii="Arial" w:hAnsi="Arial" w:cs="Arial"/>
                <w:color w:val="010000"/>
                <w:sz w:val="20"/>
              </w:rPr>
              <w:t>VND</w:t>
            </w:r>
          </w:p>
        </w:tc>
        <w:tc>
          <w:tcPr>
            <w:tcW w:w="1840" w:type="pct"/>
            <w:shd w:val="clear" w:color="auto" w:fill="auto"/>
            <w:tcMar>
              <w:top w:w="0" w:type="dxa"/>
              <w:bottom w:w="0" w:type="dxa"/>
            </w:tcMar>
            <w:vAlign w:val="center"/>
          </w:tcPr>
          <w:p w14:paraId="16E27251" w14:textId="77777777" w:rsidR="002D4F36" w:rsidRPr="00175523" w:rsidRDefault="00BA5748" w:rsidP="00175523">
            <w:pPr>
              <w:pBdr>
                <w:top w:val="nil"/>
                <w:left w:val="nil"/>
                <w:bottom w:val="nil"/>
                <w:right w:val="nil"/>
                <w:between w:val="nil"/>
              </w:pBdr>
              <w:tabs>
                <w:tab w:val="left" w:pos="142"/>
              </w:tabs>
              <w:spacing w:after="120" w:line="360" w:lineRule="auto"/>
              <w:jc w:val="right"/>
              <w:rPr>
                <w:rFonts w:ascii="Arial" w:eastAsia="Arial" w:hAnsi="Arial" w:cs="Arial"/>
                <w:color w:val="010000"/>
                <w:sz w:val="20"/>
                <w:szCs w:val="20"/>
              </w:rPr>
            </w:pPr>
            <w:r w:rsidRPr="00175523">
              <w:rPr>
                <w:rFonts w:ascii="Arial" w:hAnsi="Arial" w:cs="Arial"/>
                <w:color w:val="010000"/>
                <w:sz w:val="20"/>
              </w:rPr>
              <w:t>500,000,000,000</w:t>
            </w:r>
          </w:p>
        </w:tc>
      </w:tr>
      <w:tr w:rsidR="002D4F36" w:rsidRPr="00175523" w14:paraId="55136018" w14:textId="77777777" w:rsidTr="00175523">
        <w:tc>
          <w:tcPr>
            <w:tcW w:w="357" w:type="pct"/>
            <w:shd w:val="clear" w:color="auto" w:fill="auto"/>
            <w:tcMar>
              <w:top w:w="0" w:type="dxa"/>
              <w:bottom w:w="0" w:type="dxa"/>
            </w:tcMar>
            <w:vAlign w:val="center"/>
          </w:tcPr>
          <w:p w14:paraId="57DD44DB" w14:textId="77777777" w:rsidR="002D4F36" w:rsidRPr="00175523" w:rsidRDefault="00BA5748" w:rsidP="00175523">
            <w:pPr>
              <w:pBdr>
                <w:top w:val="nil"/>
                <w:left w:val="nil"/>
                <w:bottom w:val="nil"/>
                <w:right w:val="nil"/>
                <w:between w:val="nil"/>
              </w:pBdr>
              <w:tabs>
                <w:tab w:val="left" w:pos="142"/>
              </w:tabs>
              <w:spacing w:after="120" w:line="360" w:lineRule="auto"/>
              <w:jc w:val="center"/>
              <w:rPr>
                <w:rFonts w:ascii="Arial" w:eastAsia="Arial" w:hAnsi="Arial" w:cs="Arial"/>
                <w:color w:val="010000"/>
                <w:sz w:val="20"/>
                <w:szCs w:val="20"/>
              </w:rPr>
            </w:pPr>
            <w:r w:rsidRPr="00175523">
              <w:rPr>
                <w:rFonts w:ascii="Arial" w:hAnsi="Arial" w:cs="Arial"/>
                <w:color w:val="010000"/>
                <w:sz w:val="20"/>
              </w:rPr>
              <w:t>4</w:t>
            </w:r>
          </w:p>
        </w:tc>
        <w:tc>
          <w:tcPr>
            <w:tcW w:w="2341" w:type="pct"/>
            <w:shd w:val="clear" w:color="auto" w:fill="auto"/>
            <w:tcMar>
              <w:top w:w="0" w:type="dxa"/>
              <w:bottom w:w="0" w:type="dxa"/>
            </w:tcMar>
            <w:vAlign w:val="center"/>
          </w:tcPr>
          <w:p w14:paraId="5EA7622B" w14:textId="77777777" w:rsidR="002D4F36" w:rsidRPr="00175523" w:rsidRDefault="00BA5748" w:rsidP="00175523">
            <w:pPr>
              <w:pBdr>
                <w:top w:val="nil"/>
                <w:left w:val="nil"/>
                <w:bottom w:val="nil"/>
                <w:right w:val="nil"/>
                <w:between w:val="nil"/>
              </w:pBdr>
              <w:tabs>
                <w:tab w:val="left" w:pos="142"/>
              </w:tabs>
              <w:spacing w:after="120" w:line="360" w:lineRule="auto"/>
              <w:rPr>
                <w:rFonts w:ascii="Arial" w:eastAsia="Arial" w:hAnsi="Arial" w:cs="Arial"/>
                <w:color w:val="010000"/>
                <w:sz w:val="20"/>
                <w:szCs w:val="20"/>
              </w:rPr>
            </w:pPr>
            <w:r w:rsidRPr="00175523">
              <w:rPr>
                <w:rFonts w:ascii="Arial" w:hAnsi="Arial" w:cs="Arial"/>
                <w:color w:val="010000"/>
                <w:sz w:val="20"/>
              </w:rPr>
              <w:t>Payables to the State Budget</w:t>
            </w:r>
          </w:p>
        </w:tc>
        <w:tc>
          <w:tcPr>
            <w:tcW w:w="462" w:type="pct"/>
            <w:shd w:val="clear" w:color="auto" w:fill="auto"/>
            <w:tcMar>
              <w:top w:w="0" w:type="dxa"/>
              <w:bottom w:w="0" w:type="dxa"/>
            </w:tcMar>
            <w:vAlign w:val="center"/>
          </w:tcPr>
          <w:p w14:paraId="566DF8F1" w14:textId="77777777" w:rsidR="002D4F36" w:rsidRPr="00175523" w:rsidRDefault="00BA5748" w:rsidP="00175523">
            <w:pPr>
              <w:pBdr>
                <w:top w:val="nil"/>
                <w:left w:val="nil"/>
                <w:bottom w:val="nil"/>
                <w:right w:val="nil"/>
                <w:between w:val="nil"/>
              </w:pBdr>
              <w:tabs>
                <w:tab w:val="left" w:pos="142"/>
              </w:tabs>
              <w:spacing w:after="120" w:line="360" w:lineRule="auto"/>
              <w:jc w:val="center"/>
              <w:rPr>
                <w:rFonts w:ascii="Arial" w:eastAsia="Arial" w:hAnsi="Arial" w:cs="Arial"/>
                <w:color w:val="010000"/>
                <w:sz w:val="20"/>
                <w:szCs w:val="20"/>
              </w:rPr>
            </w:pPr>
            <w:r w:rsidRPr="00175523">
              <w:rPr>
                <w:rFonts w:ascii="Arial" w:hAnsi="Arial" w:cs="Arial"/>
                <w:color w:val="010000"/>
                <w:sz w:val="20"/>
              </w:rPr>
              <w:t>VND</w:t>
            </w:r>
          </w:p>
        </w:tc>
        <w:tc>
          <w:tcPr>
            <w:tcW w:w="1840" w:type="pct"/>
            <w:shd w:val="clear" w:color="auto" w:fill="auto"/>
            <w:tcMar>
              <w:top w:w="0" w:type="dxa"/>
              <w:bottom w:w="0" w:type="dxa"/>
            </w:tcMar>
            <w:vAlign w:val="center"/>
          </w:tcPr>
          <w:p w14:paraId="53F40FEA" w14:textId="77777777" w:rsidR="002D4F36" w:rsidRPr="00175523" w:rsidRDefault="00BA5748" w:rsidP="00175523">
            <w:pPr>
              <w:pBdr>
                <w:top w:val="nil"/>
                <w:left w:val="nil"/>
                <w:bottom w:val="nil"/>
                <w:right w:val="nil"/>
                <w:between w:val="nil"/>
              </w:pBdr>
              <w:tabs>
                <w:tab w:val="left" w:pos="142"/>
              </w:tabs>
              <w:spacing w:after="120" w:line="360" w:lineRule="auto"/>
              <w:jc w:val="right"/>
              <w:rPr>
                <w:rFonts w:ascii="Arial" w:eastAsia="Arial" w:hAnsi="Arial" w:cs="Arial"/>
                <w:color w:val="010000"/>
                <w:sz w:val="20"/>
                <w:szCs w:val="20"/>
              </w:rPr>
            </w:pPr>
            <w:r w:rsidRPr="00175523">
              <w:rPr>
                <w:rFonts w:ascii="Arial" w:hAnsi="Arial" w:cs="Arial"/>
                <w:color w:val="010000"/>
                <w:sz w:val="20"/>
              </w:rPr>
              <w:t>46,423,000,000</w:t>
            </w:r>
          </w:p>
        </w:tc>
      </w:tr>
      <w:tr w:rsidR="002D4F36" w:rsidRPr="00175523" w14:paraId="37AF0A18" w14:textId="77777777" w:rsidTr="00175523">
        <w:tc>
          <w:tcPr>
            <w:tcW w:w="357" w:type="pct"/>
            <w:shd w:val="clear" w:color="auto" w:fill="auto"/>
            <w:tcMar>
              <w:top w:w="0" w:type="dxa"/>
              <w:bottom w:w="0" w:type="dxa"/>
            </w:tcMar>
            <w:vAlign w:val="center"/>
          </w:tcPr>
          <w:p w14:paraId="635A5B9F" w14:textId="77777777" w:rsidR="002D4F36" w:rsidRPr="00175523" w:rsidRDefault="00BA5748" w:rsidP="00175523">
            <w:pPr>
              <w:pBdr>
                <w:top w:val="nil"/>
                <w:left w:val="nil"/>
                <w:bottom w:val="nil"/>
                <w:right w:val="nil"/>
                <w:between w:val="nil"/>
              </w:pBdr>
              <w:tabs>
                <w:tab w:val="left" w:pos="142"/>
              </w:tabs>
              <w:spacing w:after="120" w:line="360" w:lineRule="auto"/>
              <w:jc w:val="center"/>
              <w:rPr>
                <w:rFonts w:ascii="Arial" w:eastAsia="Arial" w:hAnsi="Arial" w:cs="Arial"/>
                <w:color w:val="010000"/>
                <w:sz w:val="20"/>
                <w:szCs w:val="20"/>
              </w:rPr>
            </w:pPr>
            <w:r w:rsidRPr="00175523">
              <w:rPr>
                <w:rFonts w:ascii="Arial" w:hAnsi="Arial" w:cs="Arial"/>
                <w:color w:val="010000"/>
                <w:sz w:val="20"/>
              </w:rPr>
              <w:t>5</w:t>
            </w:r>
          </w:p>
        </w:tc>
        <w:tc>
          <w:tcPr>
            <w:tcW w:w="2341" w:type="pct"/>
            <w:shd w:val="clear" w:color="auto" w:fill="auto"/>
            <w:tcMar>
              <w:top w:w="0" w:type="dxa"/>
              <w:bottom w:w="0" w:type="dxa"/>
            </w:tcMar>
            <w:vAlign w:val="center"/>
          </w:tcPr>
          <w:p w14:paraId="1C79D9FA" w14:textId="77777777" w:rsidR="002D4F36" w:rsidRPr="00175523" w:rsidRDefault="00BA5748" w:rsidP="00175523">
            <w:pPr>
              <w:pBdr>
                <w:top w:val="nil"/>
                <w:left w:val="nil"/>
                <w:bottom w:val="nil"/>
                <w:right w:val="nil"/>
                <w:between w:val="nil"/>
              </w:pBdr>
              <w:tabs>
                <w:tab w:val="left" w:pos="142"/>
              </w:tabs>
              <w:spacing w:after="120" w:line="360" w:lineRule="auto"/>
              <w:rPr>
                <w:rFonts w:ascii="Arial" w:eastAsia="Arial" w:hAnsi="Arial" w:cs="Arial"/>
                <w:color w:val="010000"/>
                <w:sz w:val="20"/>
                <w:szCs w:val="20"/>
              </w:rPr>
            </w:pPr>
            <w:r w:rsidRPr="00175523">
              <w:rPr>
                <w:rFonts w:ascii="Arial" w:hAnsi="Arial" w:cs="Arial"/>
                <w:color w:val="010000"/>
                <w:sz w:val="20"/>
              </w:rPr>
              <w:t>Average income/person/month</w:t>
            </w:r>
          </w:p>
        </w:tc>
        <w:tc>
          <w:tcPr>
            <w:tcW w:w="462" w:type="pct"/>
            <w:shd w:val="clear" w:color="auto" w:fill="auto"/>
            <w:tcMar>
              <w:top w:w="0" w:type="dxa"/>
              <w:bottom w:w="0" w:type="dxa"/>
            </w:tcMar>
            <w:vAlign w:val="center"/>
          </w:tcPr>
          <w:p w14:paraId="09ABFEED" w14:textId="77777777" w:rsidR="002D4F36" w:rsidRPr="00175523" w:rsidRDefault="00BA5748" w:rsidP="00175523">
            <w:pPr>
              <w:pBdr>
                <w:top w:val="nil"/>
                <w:left w:val="nil"/>
                <w:bottom w:val="nil"/>
                <w:right w:val="nil"/>
                <w:between w:val="nil"/>
              </w:pBdr>
              <w:tabs>
                <w:tab w:val="left" w:pos="142"/>
              </w:tabs>
              <w:spacing w:after="120" w:line="360" w:lineRule="auto"/>
              <w:jc w:val="center"/>
              <w:rPr>
                <w:rFonts w:ascii="Arial" w:eastAsia="Arial" w:hAnsi="Arial" w:cs="Arial"/>
                <w:color w:val="010000"/>
                <w:sz w:val="20"/>
                <w:szCs w:val="20"/>
              </w:rPr>
            </w:pPr>
            <w:r w:rsidRPr="00175523">
              <w:rPr>
                <w:rFonts w:ascii="Arial" w:hAnsi="Arial" w:cs="Arial"/>
                <w:color w:val="010000"/>
                <w:sz w:val="20"/>
              </w:rPr>
              <w:t>VND</w:t>
            </w:r>
          </w:p>
        </w:tc>
        <w:tc>
          <w:tcPr>
            <w:tcW w:w="1840" w:type="pct"/>
            <w:shd w:val="clear" w:color="auto" w:fill="auto"/>
            <w:tcMar>
              <w:top w:w="0" w:type="dxa"/>
              <w:bottom w:w="0" w:type="dxa"/>
            </w:tcMar>
            <w:vAlign w:val="center"/>
          </w:tcPr>
          <w:p w14:paraId="265F78EE" w14:textId="77777777" w:rsidR="002D4F36" w:rsidRPr="00175523" w:rsidRDefault="00BA5748" w:rsidP="00175523">
            <w:pPr>
              <w:pBdr>
                <w:top w:val="nil"/>
                <w:left w:val="nil"/>
                <w:bottom w:val="nil"/>
                <w:right w:val="nil"/>
                <w:between w:val="nil"/>
              </w:pBdr>
              <w:tabs>
                <w:tab w:val="left" w:pos="142"/>
              </w:tabs>
              <w:spacing w:after="120" w:line="360" w:lineRule="auto"/>
              <w:jc w:val="right"/>
              <w:rPr>
                <w:rFonts w:ascii="Arial" w:eastAsia="Arial" w:hAnsi="Arial" w:cs="Arial"/>
                <w:color w:val="010000"/>
                <w:sz w:val="20"/>
                <w:szCs w:val="20"/>
              </w:rPr>
            </w:pPr>
            <w:r w:rsidRPr="00175523">
              <w:rPr>
                <w:rFonts w:ascii="Arial" w:hAnsi="Arial" w:cs="Arial"/>
                <w:color w:val="010000"/>
                <w:sz w:val="20"/>
              </w:rPr>
              <w:t>14,270,000</w:t>
            </w:r>
          </w:p>
        </w:tc>
      </w:tr>
      <w:tr w:rsidR="002D4F36" w:rsidRPr="00175523" w14:paraId="13863207" w14:textId="77777777" w:rsidTr="00175523">
        <w:tc>
          <w:tcPr>
            <w:tcW w:w="357" w:type="pct"/>
            <w:shd w:val="clear" w:color="auto" w:fill="auto"/>
            <w:tcMar>
              <w:top w:w="0" w:type="dxa"/>
              <w:bottom w:w="0" w:type="dxa"/>
            </w:tcMar>
            <w:vAlign w:val="center"/>
          </w:tcPr>
          <w:p w14:paraId="51230712" w14:textId="77777777" w:rsidR="002D4F36" w:rsidRPr="00175523" w:rsidRDefault="00BA5748" w:rsidP="00175523">
            <w:pPr>
              <w:pBdr>
                <w:top w:val="nil"/>
                <w:left w:val="nil"/>
                <w:bottom w:val="nil"/>
                <w:right w:val="nil"/>
                <w:between w:val="nil"/>
              </w:pBdr>
              <w:tabs>
                <w:tab w:val="left" w:pos="142"/>
              </w:tabs>
              <w:spacing w:after="120" w:line="360" w:lineRule="auto"/>
              <w:jc w:val="center"/>
              <w:rPr>
                <w:rFonts w:ascii="Arial" w:eastAsia="Arial" w:hAnsi="Arial" w:cs="Arial"/>
                <w:color w:val="010000"/>
                <w:sz w:val="20"/>
                <w:szCs w:val="20"/>
              </w:rPr>
            </w:pPr>
            <w:r w:rsidRPr="00175523">
              <w:rPr>
                <w:rFonts w:ascii="Arial" w:hAnsi="Arial" w:cs="Arial"/>
                <w:color w:val="010000"/>
                <w:sz w:val="20"/>
              </w:rPr>
              <w:t>6</w:t>
            </w:r>
          </w:p>
        </w:tc>
        <w:tc>
          <w:tcPr>
            <w:tcW w:w="2341" w:type="pct"/>
            <w:shd w:val="clear" w:color="auto" w:fill="auto"/>
            <w:tcMar>
              <w:top w:w="0" w:type="dxa"/>
              <w:bottom w:w="0" w:type="dxa"/>
            </w:tcMar>
            <w:vAlign w:val="center"/>
          </w:tcPr>
          <w:p w14:paraId="47D31AE6" w14:textId="77777777" w:rsidR="002D4F36" w:rsidRPr="00175523" w:rsidRDefault="00BA5748" w:rsidP="00175523">
            <w:pPr>
              <w:pBdr>
                <w:top w:val="nil"/>
                <w:left w:val="nil"/>
                <w:bottom w:val="nil"/>
                <w:right w:val="nil"/>
                <w:between w:val="nil"/>
              </w:pBdr>
              <w:tabs>
                <w:tab w:val="left" w:pos="142"/>
              </w:tabs>
              <w:spacing w:after="120" w:line="360" w:lineRule="auto"/>
              <w:rPr>
                <w:rFonts w:ascii="Arial" w:eastAsia="Arial" w:hAnsi="Arial" w:cs="Arial"/>
                <w:color w:val="010000"/>
                <w:sz w:val="20"/>
                <w:szCs w:val="20"/>
              </w:rPr>
            </w:pPr>
            <w:r w:rsidRPr="00175523">
              <w:rPr>
                <w:rFonts w:ascii="Arial" w:hAnsi="Arial" w:cs="Arial"/>
                <w:color w:val="010000"/>
                <w:sz w:val="20"/>
              </w:rPr>
              <w:t>Assets</w:t>
            </w:r>
          </w:p>
        </w:tc>
        <w:tc>
          <w:tcPr>
            <w:tcW w:w="462" w:type="pct"/>
            <w:shd w:val="clear" w:color="auto" w:fill="auto"/>
            <w:tcMar>
              <w:top w:w="0" w:type="dxa"/>
              <w:bottom w:w="0" w:type="dxa"/>
            </w:tcMar>
            <w:vAlign w:val="center"/>
          </w:tcPr>
          <w:p w14:paraId="08BBCFD6" w14:textId="77777777" w:rsidR="002D4F36" w:rsidRPr="00175523" w:rsidRDefault="00BA5748" w:rsidP="00175523">
            <w:pPr>
              <w:pBdr>
                <w:top w:val="nil"/>
                <w:left w:val="nil"/>
                <w:bottom w:val="nil"/>
                <w:right w:val="nil"/>
                <w:between w:val="nil"/>
              </w:pBdr>
              <w:tabs>
                <w:tab w:val="left" w:pos="142"/>
              </w:tabs>
              <w:spacing w:after="120" w:line="360" w:lineRule="auto"/>
              <w:jc w:val="center"/>
              <w:rPr>
                <w:rFonts w:ascii="Arial" w:eastAsia="Arial" w:hAnsi="Arial" w:cs="Arial"/>
                <w:color w:val="010000"/>
                <w:sz w:val="20"/>
                <w:szCs w:val="20"/>
              </w:rPr>
            </w:pPr>
            <w:r w:rsidRPr="00175523">
              <w:rPr>
                <w:rFonts w:ascii="Arial" w:hAnsi="Arial" w:cs="Arial"/>
                <w:color w:val="010000"/>
                <w:sz w:val="20"/>
              </w:rPr>
              <w:t>VND</w:t>
            </w:r>
          </w:p>
        </w:tc>
        <w:tc>
          <w:tcPr>
            <w:tcW w:w="1840" w:type="pct"/>
            <w:shd w:val="clear" w:color="auto" w:fill="auto"/>
            <w:tcMar>
              <w:top w:w="0" w:type="dxa"/>
              <w:bottom w:w="0" w:type="dxa"/>
            </w:tcMar>
            <w:vAlign w:val="center"/>
          </w:tcPr>
          <w:p w14:paraId="2820F5E6" w14:textId="77777777" w:rsidR="002D4F36" w:rsidRPr="00175523" w:rsidRDefault="00BA5748" w:rsidP="00175523">
            <w:pPr>
              <w:pBdr>
                <w:top w:val="nil"/>
                <w:left w:val="nil"/>
                <w:bottom w:val="nil"/>
                <w:right w:val="nil"/>
                <w:between w:val="nil"/>
              </w:pBdr>
              <w:tabs>
                <w:tab w:val="left" w:pos="142"/>
              </w:tabs>
              <w:spacing w:after="120" w:line="360" w:lineRule="auto"/>
              <w:jc w:val="right"/>
              <w:rPr>
                <w:rFonts w:ascii="Arial" w:eastAsia="Arial" w:hAnsi="Arial" w:cs="Arial"/>
                <w:color w:val="010000"/>
                <w:sz w:val="20"/>
                <w:szCs w:val="20"/>
              </w:rPr>
            </w:pPr>
            <w:r w:rsidRPr="00175523">
              <w:rPr>
                <w:rFonts w:ascii="Arial" w:hAnsi="Arial" w:cs="Arial"/>
                <w:color w:val="010000"/>
                <w:sz w:val="20"/>
              </w:rPr>
              <w:t>2,259,516,117,246</w:t>
            </w:r>
          </w:p>
        </w:tc>
      </w:tr>
      <w:tr w:rsidR="002D4F36" w:rsidRPr="00175523" w14:paraId="0E4D80EE" w14:textId="77777777" w:rsidTr="00175523">
        <w:tc>
          <w:tcPr>
            <w:tcW w:w="357" w:type="pct"/>
            <w:shd w:val="clear" w:color="auto" w:fill="auto"/>
            <w:tcMar>
              <w:top w:w="0" w:type="dxa"/>
              <w:bottom w:w="0" w:type="dxa"/>
            </w:tcMar>
            <w:vAlign w:val="center"/>
          </w:tcPr>
          <w:p w14:paraId="1E39F63C" w14:textId="77777777" w:rsidR="002D4F36" w:rsidRPr="00175523" w:rsidRDefault="002D4F36" w:rsidP="00175523">
            <w:pPr>
              <w:tabs>
                <w:tab w:val="left" w:pos="142"/>
              </w:tabs>
              <w:spacing w:after="120" w:line="360" w:lineRule="auto"/>
              <w:jc w:val="center"/>
              <w:rPr>
                <w:rFonts w:ascii="Arial" w:eastAsia="Arial" w:hAnsi="Arial" w:cs="Arial"/>
                <w:color w:val="010000"/>
                <w:sz w:val="20"/>
                <w:szCs w:val="20"/>
              </w:rPr>
            </w:pPr>
          </w:p>
        </w:tc>
        <w:tc>
          <w:tcPr>
            <w:tcW w:w="2341" w:type="pct"/>
            <w:shd w:val="clear" w:color="auto" w:fill="auto"/>
            <w:tcMar>
              <w:top w:w="0" w:type="dxa"/>
              <w:bottom w:w="0" w:type="dxa"/>
            </w:tcMar>
            <w:vAlign w:val="center"/>
          </w:tcPr>
          <w:p w14:paraId="30A81E69" w14:textId="77777777" w:rsidR="002D4F36" w:rsidRPr="00175523" w:rsidRDefault="00BA5748" w:rsidP="00175523">
            <w:pPr>
              <w:numPr>
                <w:ilvl w:val="0"/>
                <w:numId w:val="1"/>
              </w:numPr>
              <w:pBdr>
                <w:top w:val="nil"/>
                <w:left w:val="nil"/>
                <w:bottom w:val="nil"/>
                <w:right w:val="nil"/>
                <w:between w:val="nil"/>
              </w:pBdr>
              <w:tabs>
                <w:tab w:val="left" w:pos="142"/>
              </w:tabs>
              <w:spacing w:after="120" w:line="360" w:lineRule="auto"/>
              <w:ind w:left="0" w:firstLine="0"/>
              <w:rPr>
                <w:rFonts w:ascii="Arial" w:eastAsia="Arial" w:hAnsi="Arial" w:cs="Arial"/>
                <w:color w:val="010000"/>
                <w:sz w:val="20"/>
                <w:szCs w:val="20"/>
              </w:rPr>
            </w:pPr>
            <w:r w:rsidRPr="00175523">
              <w:rPr>
                <w:rFonts w:ascii="Arial" w:hAnsi="Arial" w:cs="Arial"/>
                <w:color w:val="010000"/>
                <w:sz w:val="20"/>
              </w:rPr>
              <w:t>Short-term assets</w:t>
            </w:r>
          </w:p>
        </w:tc>
        <w:tc>
          <w:tcPr>
            <w:tcW w:w="462" w:type="pct"/>
            <w:shd w:val="clear" w:color="auto" w:fill="auto"/>
            <w:tcMar>
              <w:top w:w="0" w:type="dxa"/>
              <w:bottom w:w="0" w:type="dxa"/>
            </w:tcMar>
            <w:vAlign w:val="center"/>
          </w:tcPr>
          <w:p w14:paraId="3CA367FA" w14:textId="77777777" w:rsidR="002D4F36" w:rsidRPr="00175523" w:rsidRDefault="00BA5748" w:rsidP="00175523">
            <w:pPr>
              <w:pBdr>
                <w:top w:val="nil"/>
                <w:left w:val="nil"/>
                <w:bottom w:val="nil"/>
                <w:right w:val="nil"/>
                <w:between w:val="nil"/>
              </w:pBdr>
              <w:tabs>
                <w:tab w:val="left" w:pos="142"/>
              </w:tabs>
              <w:spacing w:after="120" w:line="360" w:lineRule="auto"/>
              <w:jc w:val="center"/>
              <w:rPr>
                <w:rFonts w:ascii="Arial" w:eastAsia="Arial" w:hAnsi="Arial" w:cs="Arial"/>
                <w:color w:val="010000"/>
                <w:sz w:val="20"/>
                <w:szCs w:val="20"/>
              </w:rPr>
            </w:pPr>
            <w:r w:rsidRPr="00175523">
              <w:rPr>
                <w:rFonts w:ascii="Arial" w:hAnsi="Arial" w:cs="Arial"/>
                <w:color w:val="010000"/>
                <w:sz w:val="20"/>
              </w:rPr>
              <w:t>VND</w:t>
            </w:r>
          </w:p>
        </w:tc>
        <w:tc>
          <w:tcPr>
            <w:tcW w:w="1840" w:type="pct"/>
            <w:shd w:val="clear" w:color="auto" w:fill="auto"/>
            <w:tcMar>
              <w:top w:w="0" w:type="dxa"/>
              <w:bottom w:w="0" w:type="dxa"/>
            </w:tcMar>
            <w:vAlign w:val="center"/>
          </w:tcPr>
          <w:p w14:paraId="63D8C6BF" w14:textId="77777777" w:rsidR="002D4F36" w:rsidRPr="00175523" w:rsidRDefault="00BA5748" w:rsidP="00175523">
            <w:pPr>
              <w:pBdr>
                <w:top w:val="nil"/>
                <w:left w:val="nil"/>
                <w:bottom w:val="nil"/>
                <w:right w:val="nil"/>
                <w:between w:val="nil"/>
              </w:pBdr>
              <w:tabs>
                <w:tab w:val="left" w:pos="142"/>
              </w:tabs>
              <w:spacing w:after="120" w:line="360" w:lineRule="auto"/>
              <w:jc w:val="right"/>
              <w:rPr>
                <w:rFonts w:ascii="Arial" w:eastAsia="Arial" w:hAnsi="Arial" w:cs="Arial"/>
                <w:color w:val="010000"/>
                <w:sz w:val="20"/>
                <w:szCs w:val="20"/>
              </w:rPr>
            </w:pPr>
            <w:r w:rsidRPr="00175523">
              <w:rPr>
                <w:rFonts w:ascii="Arial" w:hAnsi="Arial" w:cs="Arial"/>
                <w:color w:val="010000"/>
                <w:sz w:val="20"/>
              </w:rPr>
              <w:t>951,453,675,858</w:t>
            </w:r>
          </w:p>
        </w:tc>
      </w:tr>
      <w:tr w:rsidR="002D4F36" w:rsidRPr="00175523" w14:paraId="5742C29C" w14:textId="77777777" w:rsidTr="00175523">
        <w:tc>
          <w:tcPr>
            <w:tcW w:w="357" w:type="pct"/>
            <w:shd w:val="clear" w:color="auto" w:fill="auto"/>
            <w:tcMar>
              <w:top w:w="0" w:type="dxa"/>
              <w:bottom w:w="0" w:type="dxa"/>
            </w:tcMar>
            <w:vAlign w:val="center"/>
          </w:tcPr>
          <w:p w14:paraId="4E57E162" w14:textId="77777777" w:rsidR="002D4F36" w:rsidRPr="00175523" w:rsidRDefault="002D4F36" w:rsidP="00175523">
            <w:pPr>
              <w:tabs>
                <w:tab w:val="left" w:pos="142"/>
              </w:tabs>
              <w:spacing w:after="120" w:line="360" w:lineRule="auto"/>
              <w:jc w:val="center"/>
              <w:rPr>
                <w:rFonts w:ascii="Arial" w:eastAsia="Arial" w:hAnsi="Arial" w:cs="Arial"/>
                <w:color w:val="010000"/>
                <w:sz w:val="20"/>
                <w:szCs w:val="20"/>
              </w:rPr>
            </w:pPr>
          </w:p>
        </w:tc>
        <w:tc>
          <w:tcPr>
            <w:tcW w:w="2341" w:type="pct"/>
            <w:shd w:val="clear" w:color="auto" w:fill="auto"/>
            <w:tcMar>
              <w:top w:w="0" w:type="dxa"/>
              <w:bottom w:w="0" w:type="dxa"/>
            </w:tcMar>
            <w:vAlign w:val="center"/>
          </w:tcPr>
          <w:p w14:paraId="1C6E4BEA" w14:textId="77777777" w:rsidR="002D4F36" w:rsidRPr="00175523" w:rsidRDefault="00BA5748" w:rsidP="00175523">
            <w:pPr>
              <w:numPr>
                <w:ilvl w:val="0"/>
                <w:numId w:val="1"/>
              </w:numPr>
              <w:pBdr>
                <w:top w:val="nil"/>
                <w:left w:val="nil"/>
                <w:bottom w:val="nil"/>
                <w:right w:val="nil"/>
                <w:between w:val="nil"/>
              </w:pBdr>
              <w:tabs>
                <w:tab w:val="left" w:pos="142"/>
              </w:tabs>
              <w:spacing w:after="120" w:line="360" w:lineRule="auto"/>
              <w:ind w:left="0" w:firstLine="0"/>
              <w:rPr>
                <w:rFonts w:ascii="Arial" w:eastAsia="Arial" w:hAnsi="Arial" w:cs="Arial"/>
                <w:color w:val="010000"/>
                <w:sz w:val="20"/>
                <w:szCs w:val="20"/>
              </w:rPr>
            </w:pPr>
            <w:r w:rsidRPr="00175523">
              <w:rPr>
                <w:rFonts w:ascii="Arial" w:hAnsi="Arial" w:cs="Arial"/>
                <w:color w:val="010000"/>
                <w:sz w:val="20"/>
              </w:rPr>
              <w:t>Long-term assets</w:t>
            </w:r>
          </w:p>
        </w:tc>
        <w:tc>
          <w:tcPr>
            <w:tcW w:w="462" w:type="pct"/>
            <w:shd w:val="clear" w:color="auto" w:fill="auto"/>
            <w:tcMar>
              <w:top w:w="0" w:type="dxa"/>
              <w:bottom w:w="0" w:type="dxa"/>
            </w:tcMar>
            <w:vAlign w:val="center"/>
          </w:tcPr>
          <w:p w14:paraId="4E630548" w14:textId="77777777" w:rsidR="002D4F36" w:rsidRPr="00175523" w:rsidRDefault="00BA5748" w:rsidP="00175523">
            <w:pPr>
              <w:pBdr>
                <w:top w:val="nil"/>
                <w:left w:val="nil"/>
                <w:bottom w:val="nil"/>
                <w:right w:val="nil"/>
                <w:between w:val="nil"/>
              </w:pBdr>
              <w:tabs>
                <w:tab w:val="left" w:pos="142"/>
              </w:tabs>
              <w:spacing w:after="120" w:line="360" w:lineRule="auto"/>
              <w:jc w:val="center"/>
              <w:rPr>
                <w:rFonts w:ascii="Arial" w:eastAsia="Arial" w:hAnsi="Arial" w:cs="Arial"/>
                <w:color w:val="010000"/>
                <w:sz w:val="20"/>
                <w:szCs w:val="20"/>
              </w:rPr>
            </w:pPr>
            <w:r w:rsidRPr="00175523">
              <w:rPr>
                <w:rFonts w:ascii="Arial" w:hAnsi="Arial" w:cs="Arial"/>
                <w:color w:val="010000"/>
                <w:sz w:val="20"/>
              </w:rPr>
              <w:t>VND</w:t>
            </w:r>
          </w:p>
        </w:tc>
        <w:tc>
          <w:tcPr>
            <w:tcW w:w="1840" w:type="pct"/>
            <w:shd w:val="clear" w:color="auto" w:fill="auto"/>
            <w:tcMar>
              <w:top w:w="0" w:type="dxa"/>
              <w:bottom w:w="0" w:type="dxa"/>
            </w:tcMar>
            <w:vAlign w:val="center"/>
          </w:tcPr>
          <w:p w14:paraId="47CE7A9D" w14:textId="77777777" w:rsidR="002D4F36" w:rsidRPr="00175523" w:rsidRDefault="00BA5748" w:rsidP="00175523">
            <w:pPr>
              <w:pBdr>
                <w:top w:val="nil"/>
                <w:left w:val="nil"/>
                <w:bottom w:val="nil"/>
                <w:right w:val="nil"/>
                <w:between w:val="nil"/>
              </w:pBdr>
              <w:tabs>
                <w:tab w:val="left" w:pos="142"/>
              </w:tabs>
              <w:spacing w:after="120" w:line="360" w:lineRule="auto"/>
              <w:jc w:val="right"/>
              <w:rPr>
                <w:rFonts w:ascii="Arial" w:eastAsia="Arial" w:hAnsi="Arial" w:cs="Arial"/>
                <w:color w:val="010000"/>
                <w:sz w:val="20"/>
                <w:szCs w:val="20"/>
              </w:rPr>
            </w:pPr>
            <w:r w:rsidRPr="00175523">
              <w:rPr>
                <w:rFonts w:ascii="Arial" w:hAnsi="Arial" w:cs="Arial"/>
                <w:color w:val="010000"/>
                <w:sz w:val="20"/>
              </w:rPr>
              <w:t>1,308,062,441,388</w:t>
            </w:r>
          </w:p>
        </w:tc>
      </w:tr>
      <w:tr w:rsidR="002D4F36" w:rsidRPr="00175523" w14:paraId="799AF0BB" w14:textId="77777777" w:rsidTr="00175523">
        <w:tc>
          <w:tcPr>
            <w:tcW w:w="357" w:type="pct"/>
            <w:shd w:val="clear" w:color="auto" w:fill="auto"/>
            <w:tcMar>
              <w:top w:w="0" w:type="dxa"/>
              <w:bottom w:w="0" w:type="dxa"/>
            </w:tcMar>
            <w:vAlign w:val="center"/>
          </w:tcPr>
          <w:p w14:paraId="3730B1E4" w14:textId="77777777" w:rsidR="002D4F36" w:rsidRPr="00175523" w:rsidRDefault="00BA5748" w:rsidP="00175523">
            <w:pPr>
              <w:pBdr>
                <w:top w:val="nil"/>
                <w:left w:val="nil"/>
                <w:bottom w:val="nil"/>
                <w:right w:val="nil"/>
                <w:between w:val="nil"/>
              </w:pBdr>
              <w:tabs>
                <w:tab w:val="left" w:pos="142"/>
              </w:tabs>
              <w:spacing w:after="120" w:line="360" w:lineRule="auto"/>
              <w:jc w:val="center"/>
              <w:rPr>
                <w:rFonts w:ascii="Arial" w:eastAsia="Arial" w:hAnsi="Arial" w:cs="Arial"/>
                <w:color w:val="010000"/>
                <w:sz w:val="20"/>
                <w:szCs w:val="20"/>
              </w:rPr>
            </w:pPr>
            <w:r w:rsidRPr="00175523">
              <w:rPr>
                <w:rFonts w:ascii="Arial" w:hAnsi="Arial" w:cs="Arial"/>
                <w:color w:val="010000"/>
                <w:sz w:val="20"/>
              </w:rPr>
              <w:t>7</w:t>
            </w:r>
          </w:p>
        </w:tc>
        <w:tc>
          <w:tcPr>
            <w:tcW w:w="2341" w:type="pct"/>
            <w:shd w:val="clear" w:color="auto" w:fill="auto"/>
            <w:tcMar>
              <w:top w:w="0" w:type="dxa"/>
              <w:bottom w:w="0" w:type="dxa"/>
            </w:tcMar>
            <w:vAlign w:val="center"/>
          </w:tcPr>
          <w:p w14:paraId="62253BC9" w14:textId="77777777" w:rsidR="002D4F36" w:rsidRPr="00175523" w:rsidRDefault="00BA5748" w:rsidP="00175523">
            <w:pPr>
              <w:pBdr>
                <w:top w:val="nil"/>
                <w:left w:val="nil"/>
                <w:bottom w:val="nil"/>
                <w:right w:val="nil"/>
                <w:between w:val="nil"/>
              </w:pBdr>
              <w:tabs>
                <w:tab w:val="left" w:pos="142"/>
              </w:tabs>
              <w:spacing w:after="120" w:line="360" w:lineRule="auto"/>
              <w:rPr>
                <w:rFonts w:ascii="Arial" w:eastAsia="Arial" w:hAnsi="Arial" w:cs="Arial"/>
                <w:color w:val="010000"/>
                <w:sz w:val="20"/>
                <w:szCs w:val="20"/>
              </w:rPr>
            </w:pPr>
            <w:r w:rsidRPr="00175523">
              <w:rPr>
                <w:rFonts w:ascii="Arial" w:hAnsi="Arial" w:cs="Arial"/>
                <w:color w:val="010000"/>
                <w:sz w:val="20"/>
              </w:rPr>
              <w:t>Capital resource</w:t>
            </w:r>
          </w:p>
        </w:tc>
        <w:tc>
          <w:tcPr>
            <w:tcW w:w="462" w:type="pct"/>
            <w:shd w:val="clear" w:color="auto" w:fill="auto"/>
            <w:tcMar>
              <w:top w:w="0" w:type="dxa"/>
              <w:bottom w:w="0" w:type="dxa"/>
            </w:tcMar>
            <w:vAlign w:val="center"/>
          </w:tcPr>
          <w:p w14:paraId="4973848E" w14:textId="77777777" w:rsidR="002D4F36" w:rsidRPr="00175523" w:rsidRDefault="00BA5748" w:rsidP="00175523">
            <w:pPr>
              <w:pBdr>
                <w:top w:val="nil"/>
                <w:left w:val="nil"/>
                <w:bottom w:val="nil"/>
                <w:right w:val="nil"/>
                <w:between w:val="nil"/>
              </w:pBdr>
              <w:tabs>
                <w:tab w:val="left" w:pos="142"/>
              </w:tabs>
              <w:spacing w:after="120" w:line="360" w:lineRule="auto"/>
              <w:jc w:val="center"/>
              <w:rPr>
                <w:rFonts w:ascii="Arial" w:eastAsia="Arial" w:hAnsi="Arial" w:cs="Arial"/>
                <w:color w:val="010000"/>
                <w:sz w:val="20"/>
                <w:szCs w:val="20"/>
              </w:rPr>
            </w:pPr>
            <w:r w:rsidRPr="00175523">
              <w:rPr>
                <w:rFonts w:ascii="Arial" w:hAnsi="Arial" w:cs="Arial"/>
                <w:color w:val="010000"/>
                <w:sz w:val="20"/>
              </w:rPr>
              <w:t>VND</w:t>
            </w:r>
          </w:p>
        </w:tc>
        <w:tc>
          <w:tcPr>
            <w:tcW w:w="1840" w:type="pct"/>
            <w:shd w:val="clear" w:color="auto" w:fill="auto"/>
            <w:tcMar>
              <w:top w:w="0" w:type="dxa"/>
              <w:bottom w:w="0" w:type="dxa"/>
            </w:tcMar>
            <w:vAlign w:val="center"/>
          </w:tcPr>
          <w:p w14:paraId="6FB1230F" w14:textId="77777777" w:rsidR="002D4F36" w:rsidRPr="00175523" w:rsidRDefault="00BA5748" w:rsidP="00175523">
            <w:pPr>
              <w:pBdr>
                <w:top w:val="nil"/>
                <w:left w:val="nil"/>
                <w:bottom w:val="nil"/>
                <w:right w:val="nil"/>
                <w:between w:val="nil"/>
              </w:pBdr>
              <w:tabs>
                <w:tab w:val="left" w:pos="142"/>
              </w:tabs>
              <w:spacing w:after="120" w:line="360" w:lineRule="auto"/>
              <w:jc w:val="right"/>
              <w:rPr>
                <w:rFonts w:ascii="Arial" w:eastAsia="Arial" w:hAnsi="Arial" w:cs="Arial"/>
                <w:color w:val="010000"/>
                <w:sz w:val="20"/>
                <w:szCs w:val="20"/>
              </w:rPr>
            </w:pPr>
            <w:r w:rsidRPr="00175523">
              <w:rPr>
                <w:rFonts w:ascii="Arial" w:hAnsi="Arial" w:cs="Arial"/>
                <w:color w:val="010000"/>
                <w:sz w:val="20"/>
              </w:rPr>
              <w:t>2,259,516,117,246</w:t>
            </w:r>
          </w:p>
        </w:tc>
      </w:tr>
      <w:tr w:rsidR="002D4F36" w:rsidRPr="00175523" w14:paraId="773A5BF1" w14:textId="77777777" w:rsidTr="00175523">
        <w:tc>
          <w:tcPr>
            <w:tcW w:w="357" w:type="pct"/>
            <w:shd w:val="clear" w:color="auto" w:fill="auto"/>
            <w:tcMar>
              <w:top w:w="0" w:type="dxa"/>
              <w:bottom w:w="0" w:type="dxa"/>
            </w:tcMar>
            <w:vAlign w:val="center"/>
          </w:tcPr>
          <w:p w14:paraId="4812208E" w14:textId="77777777" w:rsidR="002D4F36" w:rsidRPr="00175523" w:rsidRDefault="002D4F36" w:rsidP="00175523">
            <w:pPr>
              <w:tabs>
                <w:tab w:val="left" w:pos="142"/>
              </w:tabs>
              <w:spacing w:after="120" w:line="360" w:lineRule="auto"/>
              <w:jc w:val="center"/>
              <w:rPr>
                <w:rFonts w:ascii="Arial" w:eastAsia="Arial" w:hAnsi="Arial" w:cs="Arial"/>
                <w:color w:val="010000"/>
                <w:sz w:val="20"/>
                <w:szCs w:val="20"/>
              </w:rPr>
            </w:pPr>
          </w:p>
        </w:tc>
        <w:tc>
          <w:tcPr>
            <w:tcW w:w="2341" w:type="pct"/>
            <w:shd w:val="clear" w:color="auto" w:fill="auto"/>
            <w:tcMar>
              <w:top w:w="0" w:type="dxa"/>
              <w:bottom w:w="0" w:type="dxa"/>
            </w:tcMar>
            <w:vAlign w:val="center"/>
          </w:tcPr>
          <w:p w14:paraId="7A77D3B4" w14:textId="77777777" w:rsidR="002D4F36" w:rsidRPr="00175523" w:rsidRDefault="00BA5748" w:rsidP="00175523">
            <w:pPr>
              <w:numPr>
                <w:ilvl w:val="0"/>
                <w:numId w:val="1"/>
              </w:numPr>
              <w:pBdr>
                <w:top w:val="nil"/>
                <w:left w:val="nil"/>
                <w:bottom w:val="nil"/>
                <w:right w:val="nil"/>
                <w:between w:val="nil"/>
              </w:pBdr>
              <w:tabs>
                <w:tab w:val="left" w:pos="142"/>
              </w:tabs>
              <w:spacing w:after="120" w:line="360" w:lineRule="auto"/>
              <w:ind w:left="0" w:firstLine="0"/>
              <w:rPr>
                <w:rFonts w:ascii="Arial" w:eastAsia="Arial" w:hAnsi="Arial" w:cs="Arial"/>
                <w:color w:val="010000"/>
                <w:sz w:val="20"/>
                <w:szCs w:val="20"/>
              </w:rPr>
            </w:pPr>
            <w:r w:rsidRPr="00175523">
              <w:rPr>
                <w:rFonts w:ascii="Arial" w:hAnsi="Arial" w:cs="Arial"/>
                <w:color w:val="010000"/>
                <w:sz w:val="20"/>
              </w:rPr>
              <w:t xml:space="preserve"> Payables</w:t>
            </w:r>
          </w:p>
        </w:tc>
        <w:tc>
          <w:tcPr>
            <w:tcW w:w="462" w:type="pct"/>
            <w:shd w:val="clear" w:color="auto" w:fill="auto"/>
            <w:tcMar>
              <w:top w:w="0" w:type="dxa"/>
              <w:bottom w:w="0" w:type="dxa"/>
            </w:tcMar>
            <w:vAlign w:val="center"/>
          </w:tcPr>
          <w:p w14:paraId="6201A4B6" w14:textId="77777777" w:rsidR="002D4F36" w:rsidRPr="00175523" w:rsidRDefault="00BA5748" w:rsidP="00175523">
            <w:pPr>
              <w:pBdr>
                <w:top w:val="nil"/>
                <w:left w:val="nil"/>
                <w:bottom w:val="nil"/>
                <w:right w:val="nil"/>
                <w:between w:val="nil"/>
              </w:pBdr>
              <w:tabs>
                <w:tab w:val="left" w:pos="142"/>
              </w:tabs>
              <w:spacing w:after="120" w:line="360" w:lineRule="auto"/>
              <w:jc w:val="center"/>
              <w:rPr>
                <w:rFonts w:ascii="Arial" w:eastAsia="Arial" w:hAnsi="Arial" w:cs="Arial"/>
                <w:color w:val="010000"/>
                <w:sz w:val="20"/>
                <w:szCs w:val="20"/>
              </w:rPr>
            </w:pPr>
            <w:r w:rsidRPr="00175523">
              <w:rPr>
                <w:rFonts w:ascii="Arial" w:hAnsi="Arial" w:cs="Arial"/>
                <w:color w:val="010000"/>
                <w:sz w:val="20"/>
              </w:rPr>
              <w:t>VND</w:t>
            </w:r>
          </w:p>
        </w:tc>
        <w:tc>
          <w:tcPr>
            <w:tcW w:w="1840" w:type="pct"/>
            <w:shd w:val="clear" w:color="auto" w:fill="auto"/>
            <w:tcMar>
              <w:top w:w="0" w:type="dxa"/>
              <w:bottom w:w="0" w:type="dxa"/>
            </w:tcMar>
            <w:vAlign w:val="center"/>
          </w:tcPr>
          <w:p w14:paraId="7418D1ED" w14:textId="77777777" w:rsidR="002D4F36" w:rsidRPr="00175523" w:rsidRDefault="00BA5748" w:rsidP="00175523">
            <w:pPr>
              <w:pBdr>
                <w:top w:val="nil"/>
                <w:left w:val="nil"/>
                <w:bottom w:val="nil"/>
                <w:right w:val="nil"/>
                <w:between w:val="nil"/>
              </w:pBdr>
              <w:tabs>
                <w:tab w:val="left" w:pos="142"/>
              </w:tabs>
              <w:spacing w:after="120" w:line="360" w:lineRule="auto"/>
              <w:jc w:val="right"/>
              <w:rPr>
                <w:rFonts w:ascii="Arial" w:eastAsia="Arial" w:hAnsi="Arial" w:cs="Arial"/>
                <w:color w:val="010000"/>
                <w:sz w:val="20"/>
                <w:szCs w:val="20"/>
              </w:rPr>
            </w:pPr>
            <w:r w:rsidRPr="00175523">
              <w:rPr>
                <w:rFonts w:ascii="Arial" w:hAnsi="Arial" w:cs="Arial"/>
                <w:color w:val="010000"/>
                <w:sz w:val="20"/>
              </w:rPr>
              <w:t>1,681,388,714,336</w:t>
            </w:r>
          </w:p>
        </w:tc>
      </w:tr>
      <w:tr w:rsidR="002D4F36" w:rsidRPr="00175523" w14:paraId="2FB6E7E6" w14:textId="77777777" w:rsidTr="00175523">
        <w:tc>
          <w:tcPr>
            <w:tcW w:w="357" w:type="pct"/>
            <w:shd w:val="clear" w:color="auto" w:fill="auto"/>
            <w:tcMar>
              <w:top w:w="0" w:type="dxa"/>
              <w:bottom w:w="0" w:type="dxa"/>
            </w:tcMar>
            <w:vAlign w:val="center"/>
          </w:tcPr>
          <w:p w14:paraId="14E62DA8" w14:textId="77777777" w:rsidR="002D4F36" w:rsidRPr="00175523" w:rsidRDefault="002D4F36" w:rsidP="00175523">
            <w:pPr>
              <w:tabs>
                <w:tab w:val="left" w:pos="142"/>
              </w:tabs>
              <w:spacing w:after="120" w:line="360" w:lineRule="auto"/>
              <w:jc w:val="center"/>
              <w:rPr>
                <w:rFonts w:ascii="Arial" w:eastAsia="Arial" w:hAnsi="Arial" w:cs="Arial"/>
                <w:color w:val="010000"/>
                <w:sz w:val="20"/>
                <w:szCs w:val="20"/>
              </w:rPr>
            </w:pPr>
          </w:p>
        </w:tc>
        <w:tc>
          <w:tcPr>
            <w:tcW w:w="2341" w:type="pct"/>
            <w:shd w:val="clear" w:color="auto" w:fill="auto"/>
            <w:tcMar>
              <w:top w:w="0" w:type="dxa"/>
              <w:bottom w:w="0" w:type="dxa"/>
            </w:tcMar>
            <w:vAlign w:val="center"/>
          </w:tcPr>
          <w:p w14:paraId="5D72384F" w14:textId="77777777" w:rsidR="002D4F36" w:rsidRPr="00175523" w:rsidRDefault="00BA5748" w:rsidP="00175523">
            <w:pPr>
              <w:numPr>
                <w:ilvl w:val="0"/>
                <w:numId w:val="1"/>
              </w:numPr>
              <w:pBdr>
                <w:top w:val="nil"/>
                <w:left w:val="nil"/>
                <w:bottom w:val="nil"/>
                <w:right w:val="nil"/>
                <w:between w:val="nil"/>
              </w:pBdr>
              <w:tabs>
                <w:tab w:val="left" w:pos="142"/>
              </w:tabs>
              <w:spacing w:after="120" w:line="360" w:lineRule="auto"/>
              <w:ind w:left="0" w:firstLine="0"/>
              <w:rPr>
                <w:rFonts w:ascii="Arial" w:eastAsia="Arial" w:hAnsi="Arial" w:cs="Arial"/>
                <w:color w:val="010000"/>
                <w:sz w:val="20"/>
                <w:szCs w:val="20"/>
              </w:rPr>
            </w:pPr>
            <w:r w:rsidRPr="00175523">
              <w:rPr>
                <w:rFonts w:ascii="Arial" w:hAnsi="Arial" w:cs="Arial"/>
                <w:color w:val="010000"/>
                <w:sz w:val="20"/>
              </w:rPr>
              <w:t>Owners’ equity</w:t>
            </w:r>
          </w:p>
        </w:tc>
        <w:tc>
          <w:tcPr>
            <w:tcW w:w="462" w:type="pct"/>
            <w:shd w:val="clear" w:color="auto" w:fill="auto"/>
            <w:tcMar>
              <w:top w:w="0" w:type="dxa"/>
              <w:bottom w:w="0" w:type="dxa"/>
            </w:tcMar>
            <w:vAlign w:val="center"/>
          </w:tcPr>
          <w:p w14:paraId="01E703F9" w14:textId="77777777" w:rsidR="002D4F36" w:rsidRPr="00175523" w:rsidRDefault="00BA5748" w:rsidP="00175523">
            <w:pPr>
              <w:pBdr>
                <w:top w:val="nil"/>
                <w:left w:val="nil"/>
                <w:bottom w:val="nil"/>
                <w:right w:val="nil"/>
                <w:between w:val="nil"/>
              </w:pBdr>
              <w:tabs>
                <w:tab w:val="left" w:pos="142"/>
              </w:tabs>
              <w:spacing w:after="120" w:line="360" w:lineRule="auto"/>
              <w:jc w:val="center"/>
              <w:rPr>
                <w:rFonts w:ascii="Arial" w:eastAsia="Arial" w:hAnsi="Arial" w:cs="Arial"/>
                <w:color w:val="010000"/>
                <w:sz w:val="20"/>
                <w:szCs w:val="20"/>
              </w:rPr>
            </w:pPr>
            <w:r w:rsidRPr="00175523">
              <w:rPr>
                <w:rFonts w:ascii="Arial" w:hAnsi="Arial" w:cs="Arial"/>
                <w:color w:val="010000"/>
                <w:sz w:val="20"/>
              </w:rPr>
              <w:t>VND</w:t>
            </w:r>
          </w:p>
        </w:tc>
        <w:tc>
          <w:tcPr>
            <w:tcW w:w="1840" w:type="pct"/>
            <w:shd w:val="clear" w:color="auto" w:fill="auto"/>
            <w:tcMar>
              <w:top w:w="0" w:type="dxa"/>
              <w:bottom w:w="0" w:type="dxa"/>
            </w:tcMar>
            <w:vAlign w:val="center"/>
          </w:tcPr>
          <w:p w14:paraId="16900FB2" w14:textId="77777777" w:rsidR="002D4F36" w:rsidRPr="00175523" w:rsidRDefault="00BA5748" w:rsidP="00175523">
            <w:pPr>
              <w:pBdr>
                <w:top w:val="nil"/>
                <w:left w:val="nil"/>
                <w:bottom w:val="nil"/>
                <w:right w:val="nil"/>
                <w:between w:val="nil"/>
              </w:pBdr>
              <w:tabs>
                <w:tab w:val="left" w:pos="142"/>
              </w:tabs>
              <w:spacing w:after="120" w:line="360" w:lineRule="auto"/>
              <w:jc w:val="right"/>
              <w:rPr>
                <w:rFonts w:ascii="Arial" w:eastAsia="Arial" w:hAnsi="Arial" w:cs="Arial"/>
                <w:color w:val="010000"/>
                <w:sz w:val="20"/>
                <w:szCs w:val="20"/>
              </w:rPr>
            </w:pPr>
            <w:r w:rsidRPr="00175523">
              <w:rPr>
                <w:rFonts w:ascii="Arial" w:hAnsi="Arial" w:cs="Arial"/>
                <w:color w:val="010000"/>
                <w:sz w:val="20"/>
              </w:rPr>
              <w:t>578,127,402,910</w:t>
            </w:r>
          </w:p>
        </w:tc>
      </w:tr>
      <w:tr w:rsidR="002D4F36" w:rsidRPr="00175523" w14:paraId="3CAC88B3" w14:textId="77777777" w:rsidTr="00175523">
        <w:tc>
          <w:tcPr>
            <w:tcW w:w="357" w:type="pct"/>
            <w:shd w:val="clear" w:color="auto" w:fill="auto"/>
            <w:tcMar>
              <w:top w:w="0" w:type="dxa"/>
              <w:bottom w:w="0" w:type="dxa"/>
            </w:tcMar>
            <w:vAlign w:val="center"/>
          </w:tcPr>
          <w:p w14:paraId="16EB30EF" w14:textId="77777777" w:rsidR="002D4F36" w:rsidRPr="00175523" w:rsidRDefault="00BA5748" w:rsidP="00175523">
            <w:pPr>
              <w:pBdr>
                <w:top w:val="nil"/>
                <w:left w:val="nil"/>
                <w:bottom w:val="nil"/>
                <w:right w:val="nil"/>
                <w:between w:val="nil"/>
              </w:pBdr>
              <w:tabs>
                <w:tab w:val="left" w:pos="142"/>
              </w:tabs>
              <w:spacing w:after="120" w:line="360" w:lineRule="auto"/>
              <w:jc w:val="center"/>
              <w:rPr>
                <w:rFonts w:ascii="Arial" w:eastAsia="Arial" w:hAnsi="Arial" w:cs="Arial"/>
                <w:color w:val="010000"/>
                <w:sz w:val="20"/>
                <w:szCs w:val="20"/>
              </w:rPr>
            </w:pPr>
            <w:r w:rsidRPr="00175523">
              <w:rPr>
                <w:rFonts w:ascii="Arial" w:hAnsi="Arial" w:cs="Arial"/>
                <w:color w:val="010000"/>
                <w:sz w:val="20"/>
              </w:rPr>
              <w:t>8</w:t>
            </w:r>
          </w:p>
        </w:tc>
        <w:tc>
          <w:tcPr>
            <w:tcW w:w="2341" w:type="pct"/>
            <w:shd w:val="clear" w:color="auto" w:fill="auto"/>
            <w:tcMar>
              <w:top w:w="0" w:type="dxa"/>
              <w:bottom w:w="0" w:type="dxa"/>
            </w:tcMar>
            <w:vAlign w:val="center"/>
          </w:tcPr>
          <w:p w14:paraId="57C0F426" w14:textId="77777777" w:rsidR="002D4F36" w:rsidRPr="00175523" w:rsidRDefault="00BA5748" w:rsidP="00175523">
            <w:pPr>
              <w:pBdr>
                <w:top w:val="nil"/>
                <w:left w:val="nil"/>
                <w:bottom w:val="nil"/>
                <w:right w:val="nil"/>
                <w:between w:val="nil"/>
              </w:pBdr>
              <w:tabs>
                <w:tab w:val="left" w:pos="142"/>
              </w:tabs>
              <w:spacing w:after="120" w:line="360" w:lineRule="auto"/>
              <w:rPr>
                <w:rFonts w:ascii="Arial" w:eastAsia="Arial" w:hAnsi="Arial" w:cs="Arial"/>
                <w:color w:val="010000"/>
                <w:sz w:val="20"/>
                <w:szCs w:val="20"/>
              </w:rPr>
            </w:pPr>
            <w:r w:rsidRPr="00175523">
              <w:rPr>
                <w:rFonts w:ascii="Arial" w:hAnsi="Arial" w:cs="Arial"/>
                <w:color w:val="010000"/>
                <w:sz w:val="20"/>
              </w:rPr>
              <w:t>Depreciation of fixed assets during the year</w:t>
            </w:r>
          </w:p>
        </w:tc>
        <w:tc>
          <w:tcPr>
            <w:tcW w:w="462" w:type="pct"/>
            <w:shd w:val="clear" w:color="auto" w:fill="auto"/>
            <w:tcMar>
              <w:top w:w="0" w:type="dxa"/>
              <w:bottom w:w="0" w:type="dxa"/>
            </w:tcMar>
            <w:vAlign w:val="center"/>
          </w:tcPr>
          <w:p w14:paraId="20633FE8" w14:textId="77777777" w:rsidR="002D4F36" w:rsidRPr="00175523" w:rsidRDefault="00BA5748" w:rsidP="00175523">
            <w:pPr>
              <w:pBdr>
                <w:top w:val="nil"/>
                <w:left w:val="nil"/>
                <w:bottom w:val="nil"/>
                <w:right w:val="nil"/>
                <w:between w:val="nil"/>
              </w:pBdr>
              <w:tabs>
                <w:tab w:val="left" w:pos="142"/>
              </w:tabs>
              <w:spacing w:after="120" w:line="360" w:lineRule="auto"/>
              <w:jc w:val="center"/>
              <w:rPr>
                <w:rFonts w:ascii="Arial" w:eastAsia="Arial" w:hAnsi="Arial" w:cs="Arial"/>
                <w:color w:val="010000"/>
                <w:sz w:val="20"/>
                <w:szCs w:val="20"/>
              </w:rPr>
            </w:pPr>
            <w:r w:rsidRPr="00175523">
              <w:rPr>
                <w:rFonts w:ascii="Arial" w:hAnsi="Arial" w:cs="Arial"/>
                <w:color w:val="010000"/>
                <w:sz w:val="20"/>
              </w:rPr>
              <w:t>VND</w:t>
            </w:r>
          </w:p>
        </w:tc>
        <w:tc>
          <w:tcPr>
            <w:tcW w:w="1840" w:type="pct"/>
            <w:shd w:val="clear" w:color="auto" w:fill="auto"/>
            <w:tcMar>
              <w:top w:w="0" w:type="dxa"/>
              <w:bottom w:w="0" w:type="dxa"/>
            </w:tcMar>
            <w:vAlign w:val="center"/>
          </w:tcPr>
          <w:p w14:paraId="1A97628D" w14:textId="77777777" w:rsidR="002D4F36" w:rsidRPr="00175523" w:rsidRDefault="00BA5748" w:rsidP="00175523">
            <w:pPr>
              <w:pBdr>
                <w:top w:val="nil"/>
                <w:left w:val="nil"/>
                <w:bottom w:val="nil"/>
                <w:right w:val="nil"/>
                <w:between w:val="nil"/>
              </w:pBdr>
              <w:tabs>
                <w:tab w:val="left" w:pos="142"/>
              </w:tabs>
              <w:spacing w:after="120" w:line="360" w:lineRule="auto"/>
              <w:jc w:val="right"/>
              <w:rPr>
                <w:rFonts w:ascii="Arial" w:eastAsia="Arial" w:hAnsi="Arial" w:cs="Arial"/>
                <w:color w:val="010000"/>
                <w:sz w:val="20"/>
                <w:szCs w:val="20"/>
              </w:rPr>
            </w:pPr>
            <w:r w:rsidRPr="00175523">
              <w:rPr>
                <w:rFonts w:ascii="Arial" w:hAnsi="Arial" w:cs="Arial"/>
                <w:color w:val="010000"/>
                <w:sz w:val="20"/>
              </w:rPr>
              <w:t>154,428,000,000</w:t>
            </w:r>
          </w:p>
        </w:tc>
      </w:tr>
      <w:tr w:rsidR="002D4F36" w:rsidRPr="00175523" w14:paraId="7D909540" w14:textId="77777777" w:rsidTr="00175523">
        <w:tc>
          <w:tcPr>
            <w:tcW w:w="357" w:type="pct"/>
            <w:shd w:val="clear" w:color="auto" w:fill="auto"/>
            <w:tcMar>
              <w:top w:w="0" w:type="dxa"/>
              <w:bottom w:w="0" w:type="dxa"/>
            </w:tcMar>
            <w:vAlign w:val="center"/>
          </w:tcPr>
          <w:p w14:paraId="42050DD3" w14:textId="77777777" w:rsidR="002D4F36" w:rsidRPr="00175523" w:rsidRDefault="00BA5748" w:rsidP="00175523">
            <w:pPr>
              <w:pBdr>
                <w:top w:val="nil"/>
                <w:left w:val="nil"/>
                <w:bottom w:val="nil"/>
                <w:right w:val="nil"/>
                <w:between w:val="nil"/>
              </w:pBdr>
              <w:tabs>
                <w:tab w:val="left" w:pos="142"/>
              </w:tabs>
              <w:spacing w:after="120" w:line="360" w:lineRule="auto"/>
              <w:jc w:val="center"/>
              <w:rPr>
                <w:rFonts w:ascii="Arial" w:eastAsia="Arial" w:hAnsi="Arial" w:cs="Arial"/>
                <w:color w:val="010000"/>
                <w:sz w:val="20"/>
                <w:szCs w:val="20"/>
              </w:rPr>
            </w:pPr>
            <w:r w:rsidRPr="00175523">
              <w:rPr>
                <w:rFonts w:ascii="Arial" w:hAnsi="Arial" w:cs="Arial"/>
                <w:color w:val="010000"/>
                <w:sz w:val="20"/>
              </w:rPr>
              <w:t>9</w:t>
            </w:r>
          </w:p>
        </w:tc>
        <w:tc>
          <w:tcPr>
            <w:tcW w:w="2341" w:type="pct"/>
            <w:shd w:val="clear" w:color="auto" w:fill="auto"/>
            <w:tcMar>
              <w:top w:w="0" w:type="dxa"/>
              <w:bottom w:w="0" w:type="dxa"/>
            </w:tcMar>
            <w:vAlign w:val="center"/>
          </w:tcPr>
          <w:p w14:paraId="56F0267A" w14:textId="77777777" w:rsidR="002D4F36" w:rsidRPr="00175523" w:rsidRDefault="00BA5748" w:rsidP="00175523">
            <w:pPr>
              <w:pBdr>
                <w:top w:val="nil"/>
                <w:left w:val="nil"/>
                <w:bottom w:val="nil"/>
                <w:right w:val="nil"/>
                <w:between w:val="nil"/>
              </w:pBdr>
              <w:tabs>
                <w:tab w:val="left" w:pos="142"/>
              </w:tabs>
              <w:spacing w:after="120" w:line="360" w:lineRule="auto"/>
              <w:rPr>
                <w:rFonts w:ascii="Arial" w:eastAsia="Arial" w:hAnsi="Arial" w:cs="Arial"/>
                <w:color w:val="010000"/>
                <w:sz w:val="20"/>
                <w:szCs w:val="20"/>
              </w:rPr>
            </w:pPr>
            <w:r w:rsidRPr="00175523">
              <w:rPr>
                <w:rFonts w:ascii="Arial" w:hAnsi="Arial" w:cs="Arial"/>
                <w:color w:val="010000"/>
                <w:sz w:val="20"/>
              </w:rPr>
              <w:t>Profit before tax</w:t>
            </w:r>
          </w:p>
        </w:tc>
        <w:tc>
          <w:tcPr>
            <w:tcW w:w="462" w:type="pct"/>
            <w:shd w:val="clear" w:color="auto" w:fill="auto"/>
            <w:tcMar>
              <w:top w:w="0" w:type="dxa"/>
              <w:bottom w:w="0" w:type="dxa"/>
            </w:tcMar>
            <w:vAlign w:val="center"/>
          </w:tcPr>
          <w:p w14:paraId="5600F375" w14:textId="77777777" w:rsidR="002D4F36" w:rsidRPr="00175523" w:rsidRDefault="00BA5748" w:rsidP="00175523">
            <w:pPr>
              <w:pBdr>
                <w:top w:val="nil"/>
                <w:left w:val="nil"/>
                <w:bottom w:val="nil"/>
                <w:right w:val="nil"/>
                <w:between w:val="nil"/>
              </w:pBdr>
              <w:tabs>
                <w:tab w:val="left" w:pos="142"/>
              </w:tabs>
              <w:spacing w:after="120" w:line="360" w:lineRule="auto"/>
              <w:jc w:val="center"/>
              <w:rPr>
                <w:rFonts w:ascii="Arial" w:eastAsia="Arial" w:hAnsi="Arial" w:cs="Arial"/>
                <w:color w:val="010000"/>
                <w:sz w:val="20"/>
                <w:szCs w:val="20"/>
              </w:rPr>
            </w:pPr>
            <w:r w:rsidRPr="00175523">
              <w:rPr>
                <w:rFonts w:ascii="Arial" w:hAnsi="Arial" w:cs="Arial"/>
                <w:color w:val="010000"/>
                <w:sz w:val="20"/>
              </w:rPr>
              <w:t>VND</w:t>
            </w:r>
          </w:p>
        </w:tc>
        <w:tc>
          <w:tcPr>
            <w:tcW w:w="1840" w:type="pct"/>
            <w:shd w:val="clear" w:color="auto" w:fill="auto"/>
            <w:tcMar>
              <w:top w:w="0" w:type="dxa"/>
              <w:bottom w:w="0" w:type="dxa"/>
            </w:tcMar>
            <w:vAlign w:val="center"/>
          </w:tcPr>
          <w:p w14:paraId="7D88A0DF" w14:textId="77777777" w:rsidR="002D4F36" w:rsidRPr="00175523" w:rsidRDefault="00BA5748" w:rsidP="00175523">
            <w:pPr>
              <w:pBdr>
                <w:top w:val="nil"/>
                <w:left w:val="nil"/>
                <w:bottom w:val="nil"/>
                <w:right w:val="nil"/>
                <w:between w:val="nil"/>
              </w:pBdr>
              <w:tabs>
                <w:tab w:val="left" w:pos="142"/>
              </w:tabs>
              <w:spacing w:after="120" w:line="360" w:lineRule="auto"/>
              <w:jc w:val="right"/>
              <w:rPr>
                <w:rFonts w:ascii="Arial" w:eastAsia="Arial" w:hAnsi="Arial" w:cs="Arial"/>
                <w:color w:val="010000"/>
                <w:sz w:val="20"/>
                <w:szCs w:val="20"/>
              </w:rPr>
            </w:pPr>
            <w:r w:rsidRPr="00175523">
              <w:rPr>
                <w:rFonts w:ascii="Arial" w:hAnsi="Arial" w:cs="Arial"/>
                <w:color w:val="010000"/>
                <w:sz w:val="20"/>
              </w:rPr>
              <w:t>6,280,860,464</w:t>
            </w:r>
          </w:p>
        </w:tc>
      </w:tr>
    </w:tbl>
    <w:p w14:paraId="2EBABD66" w14:textId="0F244961" w:rsidR="002D4F36" w:rsidRPr="00175523" w:rsidRDefault="00BA5748" w:rsidP="00175523">
      <w:pPr>
        <w:pBdr>
          <w:top w:val="nil"/>
          <w:left w:val="nil"/>
          <w:bottom w:val="nil"/>
          <w:right w:val="nil"/>
          <w:between w:val="nil"/>
        </w:pBdr>
        <w:tabs>
          <w:tab w:val="left" w:pos="142"/>
        </w:tabs>
        <w:spacing w:after="120" w:line="360" w:lineRule="auto"/>
        <w:rPr>
          <w:rFonts w:ascii="Arial" w:eastAsia="Arial" w:hAnsi="Arial" w:cs="Arial"/>
          <w:color w:val="010000"/>
          <w:sz w:val="20"/>
          <w:szCs w:val="20"/>
        </w:rPr>
      </w:pPr>
      <w:r w:rsidRPr="00175523">
        <w:rPr>
          <w:rFonts w:ascii="Arial" w:hAnsi="Arial" w:cs="Arial"/>
          <w:color w:val="010000"/>
          <w:sz w:val="20"/>
        </w:rPr>
        <w:t xml:space="preserve">With the basic targets in the Report, in 2023, the Company preserved and </w:t>
      </w:r>
      <w:r w:rsidR="00287B71">
        <w:rPr>
          <w:rFonts w:ascii="Arial" w:hAnsi="Arial" w:cs="Arial"/>
          <w:color w:val="010000"/>
          <w:sz w:val="20"/>
        </w:rPr>
        <w:t>increase</w:t>
      </w:r>
      <w:r w:rsidR="00327174" w:rsidRPr="00175523">
        <w:rPr>
          <w:rFonts w:ascii="Arial" w:hAnsi="Arial" w:cs="Arial"/>
          <w:color w:val="010000"/>
          <w:sz w:val="20"/>
        </w:rPr>
        <w:t>d</w:t>
      </w:r>
      <w:r w:rsidR="00287B71">
        <w:rPr>
          <w:rFonts w:ascii="Arial" w:hAnsi="Arial" w:cs="Arial"/>
          <w:color w:val="010000"/>
          <w:sz w:val="20"/>
        </w:rPr>
        <w:t xml:space="preserve"> owner</w:t>
      </w:r>
      <w:r w:rsidRPr="00175523">
        <w:rPr>
          <w:rFonts w:ascii="Arial" w:hAnsi="Arial" w:cs="Arial"/>
          <w:color w:val="010000"/>
          <w:sz w:val="20"/>
        </w:rPr>
        <w:t>’</w:t>
      </w:r>
      <w:r w:rsidR="00287B71">
        <w:rPr>
          <w:rFonts w:ascii="Arial" w:hAnsi="Arial" w:cs="Arial"/>
          <w:color w:val="010000"/>
          <w:sz w:val="20"/>
        </w:rPr>
        <w:t>s</w:t>
      </w:r>
      <w:r w:rsidRPr="00175523">
        <w:rPr>
          <w:rFonts w:ascii="Arial" w:hAnsi="Arial" w:cs="Arial"/>
          <w:color w:val="010000"/>
          <w:sz w:val="20"/>
        </w:rPr>
        <w:t xml:space="preserve"> equity.</w:t>
      </w:r>
    </w:p>
    <w:tbl>
      <w:tblPr>
        <w:tblStyle w:val="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381"/>
        <w:gridCol w:w="3636"/>
      </w:tblGrid>
      <w:tr w:rsidR="002D4F36" w:rsidRPr="00175523" w14:paraId="5F7C8D23" w14:textId="77777777" w:rsidTr="00175523">
        <w:tc>
          <w:tcPr>
            <w:tcW w:w="2984" w:type="pct"/>
            <w:shd w:val="clear" w:color="auto" w:fill="auto"/>
            <w:vAlign w:val="center"/>
          </w:tcPr>
          <w:p w14:paraId="4D00C35A" w14:textId="77777777" w:rsidR="002D4F36" w:rsidRPr="00175523" w:rsidRDefault="00BA5748" w:rsidP="00175523">
            <w:pPr>
              <w:numPr>
                <w:ilvl w:val="0"/>
                <w:numId w:val="1"/>
              </w:numPr>
              <w:pBdr>
                <w:top w:val="nil"/>
                <w:left w:val="nil"/>
                <w:bottom w:val="nil"/>
                <w:right w:val="nil"/>
                <w:between w:val="nil"/>
              </w:pBdr>
              <w:tabs>
                <w:tab w:val="left" w:pos="142"/>
              </w:tabs>
              <w:spacing w:after="120" w:line="360" w:lineRule="auto"/>
              <w:ind w:left="0" w:firstLine="0"/>
              <w:jc w:val="both"/>
              <w:rPr>
                <w:rFonts w:ascii="Arial" w:eastAsia="Arial" w:hAnsi="Arial" w:cs="Arial"/>
                <w:color w:val="010000"/>
                <w:sz w:val="20"/>
                <w:szCs w:val="20"/>
              </w:rPr>
            </w:pPr>
            <w:r w:rsidRPr="00175523">
              <w:rPr>
                <w:rFonts w:ascii="Arial" w:hAnsi="Arial" w:cs="Arial"/>
                <w:color w:val="010000"/>
                <w:sz w:val="20"/>
              </w:rPr>
              <w:t xml:space="preserve"> Owners’ equity/total capital:</w:t>
            </w:r>
          </w:p>
        </w:tc>
        <w:tc>
          <w:tcPr>
            <w:tcW w:w="2016" w:type="pct"/>
            <w:shd w:val="clear" w:color="auto" w:fill="auto"/>
            <w:vAlign w:val="center"/>
          </w:tcPr>
          <w:p w14:paraId="3153309C" w14:textId="4FBB27D1" w:rsidR="002D4F36" w:rsidRPr="00175523" w:rsidRDefault="00BA5748" w:rsidP="00175523">
            <w:pPr>
              <w:pBdr>
                <w:top w:val="nil"/>
                <w:left w:val="nil"/>
                <w:bottom w:val="nil"/>
                <w:right w:val="nil"/>
                <w:between w:val="nil"/>
              </w:pBdr>
              <w:tabs>
                <w:tab w:val="left" w:pos="142"/>
              </w:tabs>
              <w:spacing w:after="120" w:line="360" w:lineRule="auto"/>
              <w:rPr>
                <w:rFonts w:ascii="Arial" w:eastAsia="Arial" w:hAnsi="Arial" w:cs="Arial"/>
                <w:color w:val="010000"/>
                <w:sz w:val="20"/>
                <w:szCs w:val="20"/>
              </w:rPr>
            </w:pPr>
            <w:r w:rsidRPr="00175523">
              <w:rPr>
                <w:rFonts w:ascii="Arial" w:hAnsi="Arial" w:cs="Arial"/>
                <w:color w:val="010000"/>
                <w:sz w:val="20"/>
              </w:rPr>
              <w:t xml:space="preserve"> 25.6% in 2022, equivalent to </w:t>
            </w:r>
            <w:r w:rsidR="00327174" w:rsidRPr="00175523">
              <w:rPr>
                <w:rFonts w:ascii="Arial" w:hAnsi="Arial" w:cs="Arial"/>
                <w:color w:val="010000"/>
                <w:sz w:val="20"/>
              </w:rPr>
              <w:t>28.</w:t>
            </w:r>
            <w:r w:rsidRPr="00175523">
              <w:rPr>
                <w:rFonts w:ascii="Arial" w:hAnsi="Arial" w:cs="Arial"/>
                <w:color w:val="010000"/>
                <w:sz w:val="20"/>
              </w:rPr>
              <w:t>2%</w:t>
            </w:r>
          </w:p>
        </w:tc>
      </w:tr>
      <w:tr w:rsidR="002D4F36" w:rsidRPr="00175523" w14:paraId="39F118AD" w14:textId="77777777" w:rsidTr="00175523">
        <w:tc>
          <w:tcPr>
            <w:tcW w:w="2984" w:type="pct"/>
            <w:shd w:val="clear" w:color="auto" w:fill="auto"/>
            <w:vAlign w:val="center"/>
          </w:tcPr>
          <w:p w14:paraId="483F67F5" w14:textId="77777777" w:rsidR="002D4F36" w:rsidRPr="00175523" w:rsidRDefault="00BA5748" w:rsidP="00175523">
            <w:pPr>
              <w:numPr>
                <w:ilvl w:val="0"/>
                <w:numId w:val="1"/>
              </w:numPr>
              <w:pBdr>
                <w:top w:val="nil"/>
                <w:left w:val="nil"/>
                <w:bottom w:val="nil"/>
                <w:right w:val="nil"/>
                <w:between w:val="nil"/>
              </w:pBdr>
              <w:tabs>
                <w:tab w:val="left" w:pos="142"/>
              </w:tabs>
              <w:spacing w:after="120" w:line="360" w:lineRule="auto"/>
              <w:ind w:left="0" w:firstLine="0"/>
              <w:jc w:val="both"/>
              <w:rPr>
                <w:rFonts w:ascii="Arial" w:eastAsia="Arial" w:hAnsi="Arial" w:cs="Arial"/>
                <w:color w:val="010000"/>
                <w:sz w:val="20"/>
                <w:szCs w:val="20"/>
              </w:rPr>
            </w:pPr>
            <w:r w:rsidRPr="00175523">
              <w:rPr>
                <w:rFonts w:ascii="Arial" w:hAnsi="Arial" w:cs="Arial"/>
                <w:color w:val="010000"/>
                <w:sz w:val="20"/>
              </w:rPr>
              <w:t>Rate of profit before tax/revenue:</w:t>
            </w:r>
          </w:p>
        </w:tc>
        <w:tc>
          <w:tcPr>
            <w:tcW w:w="2016" w:type="pct"/>
            <w:shd w:val="clear" w:color="auto" w:fill="auto"/>
            <w:vAlign w:val="center"/>
          </w:tcPr>
          <w:p w14:paraId="4383FF97" w14:textId="77777777" w:rsidR="002D4F36" w:rsidRPr="00175523" w:rsidRDefault="00BA5748" w:rsidP="00175523">
            <w:pPr>
              <w:pBdr>
                <w:top w:val="nil"/>
                <w:left w:val="nil"/>
                <w:bottom w:val="nil"/>
                <w:right w:val="nil"/>
                <w:between w:val="nil"/>
              </w:pBdr>
              <w:tabs>
                <w:tab w:val="left" w:pos="142"/>
              </w:tabs>
              <w:spacing w:after="120" w:line="360" w:lineRule="auto"/>
              <w:rPr>
                <w:rFonts w:ascii="Arial" w:eastAsia="Arial" w:hAnsi="Arial" w:cs="Arial"/>
                <w:color w:val="010000"/>
                <w:sz w:val="20"/>
                <w:szCs w:val="20"/>
              </w:rPr>
            </w:pPr>
            <w:r w:rsidRPr="00175523">
              <w:rPr>
                <w:rFonts w:ascii="Arial" w:hAnsi="Arial" w:cs="Arial"/>
                <w:color w:val="010000"/>
                <w:sz w:val="20"/>
              </w:rPr>
              <w:t xml:space="preserve"> 0.3% in 2022, equivalent to 3%</w:t>
            </w:r>
          </w:p>
        </w:tc>
      </w:tr>
      <w:tr w:rsidR="002D4F36" w:rsidRPr="00175523" w14:paraId="4BD2E2A4" w14:textId="77777777" w:rsidTr="00175523">
        <w:tc>
          <w:tcPr>
            <w:tcW w:w="2984" w:type="pct"/>
            <w:shd w:val="clear" w:color="auto" w:fill="auto"/>
            <w:vAlign w:val="center"/>
          </w:tcPr>
          <w:p w14:paraId="714C7000" w14:textId="77777777" w:rsidR="002D4F36" w:rsidRPr="00175523" w:rsidRDefault="00BA5748" w:rsidP="00175523">
            <w:pPr>
              <w:numPr>
                <w:ilvl w:val="0"/>
                <w:numId w:val="1"/>
              </w:numPr>
              <w:pBdr>
                <w:top w:val="nil"/>
                <w:left w:val="nil"/>
                <w:bottom w:val="nil"/>
                <w:right w:val="nil"/>
                <w:between w:val="nil"/>
              </w:pBdr>
              <w:tabs>
                <w:tab w:val="left" w:pos="142"/>
              </w:tabs>
              <w:spacing w:after="120" w:line="360" w:lineRule="auto"/>
              <w:ind w:left="0" w:firstLine="0"/>
              <w:jc w:val="both"/>
              <w:rPr>
                <w:rFonts w:ascii="Arial" w:eastAsia="Arial" w:hAnsi="Arial" w:cs="Arial"/>
                <w:color w:val="010000"/>
                <w:sz w:val="20"/>
                <w:szCs w:val="20"/>
              </w:rPr>
            </w:pPr>
            <w:r w:rsidRPr="00175523">
              <w:rPr>
                <w:rFonts w:ascii="Arial" w:hAnsi="Arial" w:cs="Arial"/>
                <w:color w:val="010000"/>
                <w:sz w:val="20"/>
              </w:rPr>
              <w:lastRenderedPageBreak/>
              <w:t>Rate of profit before tax/total assets:</w:t>
            </w:r>
          </w:p>
        </w:tc>
        <w:tc>
          <w:tcPr>
            <w:tcW w:w="2016" w:type="pct"/>
            <w:shd w:val="clear" w:color="auto" w:fill="auto"/>
            <w:vAlign w:val="center"/>
          </w:tcPr>
          <w:p w14:paraId="1C7190F6" w14:textId="77777777" w:rsidR="002D4F36" w:rsidRPr="00175523" w:rsidRDefault="00BA5748" w:rsidP="00175523">
            <w:pPr>
              <w:pBdr>
                <w:top w:val="nil"/>
                <w:left w:val="nil"/>
                <w:bottom w:val="nil"/>
                <w:right w:val="nil"/>
                <w:between w:val="nil"/>
              </w:pBdr>
              <w:tabs>
                <w:tab w:val="left" w:pos="142"/>
              </w:tabs>
              <w:spacing w:after="120" w:line="360" w:lineRule="auto"/>
              <w:rPr>
                <w:rFonts w:ascii="Arial" w:eastAsia="Arial" w:hAnsi="Arial" w:cs="Arial"/>
                <w:color w:val="010000"/>
                <w:sz w:val="20"/>
                <w:szCs w:val="20"/>
              </w:rPr>
            </w:pPr>
            <w:r w:rsidRPr="00175523">
              <w:rPr>
                <w:rFonts w:ascii="Arial" w:hAnsi="Arial" w:cs="Arial"/>
                <w:color w:val="010000"/>
                <w:sz w:val="20"/>
              </w:rPr>
              <w:t xml:space="preserve"> 0.3% in 2022, equivalent to 2.7%</w:t>
            </w:r>
          </w:p>
        </w:tc>
      </w:tr>
      <w:tr w:rsidR="002D4F36" w:rsidRPr="00175523" w14:paraId="5223E4C2" w14:textId="77777777" w:rsidTr="00175523">
        <w:tc>
          <w:tcPr>
            <w:tcW w:w="2984" w:type="pct"/>
            <w:shd w:val="clear" w:color="auto" w:fill="auto"/>
            <w:vAlign w:val="center"/>
          </w:tcPr>
          <w:p w14:paraId="744D8D09" w14:textId="4951D8E9" w:rsidR="002D4F36" w:rsidRPr="00175523" w:rsidRDefault="00327174" w:rsidP="00175523">
            <w:pPr>
              <w:numPr>
                <w:ilvl w:val="0"/>
                <w:numId w:val="1"/>
              </w:numPr>
              <w:pBdr>
                <w:top w:val="nil"/>
                <w:left w:val="nil"/>
                <w:bottom w:val="nil"/>
                <w:right w:val="nil"/>
                <w:between w:val="nil"/>
              </w:pBdr>
              <w:tabs>
                <w:tab w:val="left" w:pos="142"/>
              </w:tabs>
              <w:spacing w:after="120" w:line="360" w:lineRule="auto"/>
              <w:ind w:left="0" w:firstLine="0"/>
              <w:jc w:val="both"/>
              <w:rPr>
                <w:rFonts w:ascii="Arial" w:eastAsia="Arial" w:hAnsi="Arial" w:cs="Arial"/>
                <w:color w:val="010000"/>
                <w:sz w:val="20"/>
                <w:szCs w:val="20"/>
              </w:rPr>
            </w:pPr>
            <w:r w:rsidRPr="00175523">
              <w:rPr>
                <w:rFonts w:ascii="Arial" w:hAnsi="Arial" w:cs="Arial"/>
                <w:color w:val="010000"/>
                <w:sz w:val="20"/>
              </w:rPr>
              <w:t>Rate</w:t>
            </w:r>
            <w:r w:rsidR="00BA5748" w:rsidRPr="00175523">
              <w:rPr>
                <w:rFonts w:ascii="Arial" w:hAnsi="Arial" w:cs="Arial"/>
                <w:color w:val="010000"/>
                <w:sz w:val="20"/>
              </w:rPr>
              <w:t xml:space="preserve"> of short-term assets/</w:t>
            </w:r>
            <w:r w:rsidRPr="00175523">
              <w:rPr>
                <w:rFonts w:ascii="Arial" w:hAnsi="Arial" w:cs="Arial"/>
                <w:color w:val="010000"/>
                <w:sz w:val="20"/>
              </w:rPr>
              <w:t xml:space="preserve">short-term </w:t>
            </w:r>
            <w:r w:rsidR="00BA5748" w:rsidRPr="00175523">
              <w:rPr>
                <w:rFonts w:ascii="Arial" w:hAnsi="Arial" w:cs="Arial"/>
                <w:color w:val="010000"/>
                <w:sz w:val="20"/>
              </w:rPr>
              <w:t>debt payment capacity</w:t>
            </w:r>
            <w:r w:rsidRPr="00175523">
              <w:rPr>
                <w:rFonts w:ascii="Arial" w:hAnsi="Arial" w:cs="Arial"/>
                <w:color w:val="010000"/>
                <w:sz w:val="20"/>
              </w:rPr>
              <w:t>:</w:t>
            </w:r>
          </w:p>
        </w:tc>
        <w:tc>
          <w:tcPr>
            <w:tcW w:w="2016" w:type="pct"/>
            <w:shd w:val="clear" w:color="auto" w:fill="auto"/>
            <w:vAlign w:val="center"/>
          </w:tcPr>
          <w:p w14:paraId="5E287BD8" w14:textId="77777777" w:rsidR="002D4F36" w:rsidRPr="00175523" w:rsidRDefault="00BA5748" w:rsidP="00175523">
            <w:pPr>
              <w:pBdr>
                <w:top w:val="nil"/>
                <w:left w:val="nil"/>
                <w:bottom w:val="nil"/>
                <w:right w:val="nil"/>
                <w:between w:val="nil"/>
              </w:pBdr>
              <w:tabs>
                <w:tab w:val="left" w:pos="142"/>
              </w:tabs>
              <w:spacing w:after="120" w:line="360" w:lineRule="auto"/>
              <w:rPr>
                <w:rFonts w:ascii="Arial" w:eastAsia="Arial" w:hAnsi="Arial" w:cs="Arial"/>
                <w:color w:val="010000"/>
                <w:sz w:val="20"/>
                <w:szCs w:val="20"/>
              </w:rPr>
            </w:pPr>
            <w:r w:rsidRPr="00175523">
              <w:rPr>
                <w:rFonts w:ascii="Arial" w:hAnsi="Arial" w:cs="Arial"/>
                <w:color w:val="010000"/>
                <w:sz w:val="20"/>
              </w:rPr>
              <w:t xml:space="preserve"> 0.89 times in 2022, equivalent to 1.21 times</w:t>
            </w:r>
          </w:p>
        </w:tc>
      </w:tr>
      <w:tr w:rsidR="002D4F36" w:rsidRPr="00175523" w14:paraId="6790D13F" w14:textId="77777777" w:rsidTr="00175523">
        <w:tc>
          <w:tcPr>
            <w:tcW w:w="2984" w:type="pct"/>
            <w:shd w:val="clear" w:color="auto" w:fill="auto"/>
            <w:vAlign w:val="center"/>
          </w:tcPr>
          <w:p w14:paraId="460BD7C5" w14:textId="6C4B1D8A" w:rsidR="002D4F36" w:rsidRPr="00175523" w:rsidRDefault="00327174" w:rsidP="00175523">
            <w:pPr>
              <w:numPr>
                <w:ilvl w:val="0"/>
                <w:numId w:val="1"/>
              </w:numPr>
              <w:pBdr>
                <w:top w:val="nil"/>
                <w:left w:val="nil"/>
                <w:bottom w:val="nil"/>
                <w:right w:val="nil"/>
                <w:between w:val="nil"/>
              </w:pBdr>
              <w:tabs>
                <w:tab w:val="left" w:pos="142"/>
              </w:tabs>
              <w:spacing w:after="120" w:line="360" w:lineRule="auto"/>
              <w:ind w:left="0" w:firstLine="0"/>
              <w:jc w:val="both"/>
              <w:rPr>
                <w:rFonts w:ascii="Arial" w:eastAsia="Arial" w:hAnsi="Arial" w:cs="Arial"/>
                <w:color w:val="010000"/>
                <w:sz w:val="20"/>
                <w:szCs w:val="20"/>
              </w:rPr>
            </w:pPr>
            <w:r w:rsidRPr="00175523">
              <w:rPr>
                <w:rFonts w:ascii="Arial" w:hAnsi="Arial" w:cs="Arial"/>
                <w:color w:val="010000"/>
                <w:sz w:val="20"/>
              </w:rPr>
              <w:t>Debt to Equity ratio</w:t>
            </w:r>
            <w:r w:rsidR="00BA5748" w:rsidRPr="00175523">
              <w:rPr>
                <w:rFonts w:ascii="Arial" w:hAnsi="Arial" w:cs="Arial"/>
                <w:color w:val="010000"/>
                <w:sz w:val="20"/>
              </w:rPr>
              <w:t>:</w:t>
            </w:r>
          </w:p>
        </w:tc>
        <w:tc>
          <w:tcPr>
            <w:tcW w:w="2016" w:type="pct"/>
            <w:shd w:val="clear" w:color="auto" w:fill="auto"/>
            <w:vAlign w:val="center"/>
          </w:tcPr>
          <w:p w14:paraId="4F616C9E" w14:textId="77777777" w:rsidR="002D4F36" w:rsidRPr="00175523" w:rsidRDefault="00BA5748" w:rsidP="00175523">
            <w:pPr>
              <w:pBdr>
                <w:top w:val="nil"/>
                <w:left w:val="nil"/>
                <w:bottom w:val="nil"/>
                <w:right w:val="nil"/>
                <w:between w:val="nil"/>
              </w:pBdr>
              <w:tabs>
                <w:tab w:val="left" w:pos="142"/>
              </w:tabs>
              <w:spacing w:after="120" w:line="360" w:lineRule="auto"/>
              <w:rPr>
                <w:rFonts w:ascii="Arial" w:eastAsia="Arial" w:hAnsi="Arial" w:cs="Arial"/>
                <w:color w:val="010000"/>
                <w:sz w:val="20"/>
                <w:szCs w:val="20"/>
              </w:rPr>
            </w:pPr>
            <w:r w:rsidRPr="00175523">
              <w:rPr>
                <w:rFonts w:ascii="Arial" w:hAnsi="Arial" w:cs="Arial"/>
                <w:color w:val="010000"/>
                <w:sz w:val="20"/>
              </w:rPr>
              <w:t xml:space="preserve"> 2.9 times in 2022, equivalent to 2.55 times</w:t>
            </w:r>
          </w:p>
        </w:tc>
      </w:tr>
    </w:tbl>
    <w:p w14:paraId="39B854A6" w14:textId="398CA6D5" w:rsidR="009206D9" w:rsidRPr="00175523" w:rsidRDefault="00BA5748" w:rsidP="00287B71">
      <w:pPr>
        <w:pBdr>
          <w:top w:val="nil"/>
          <w:left w:val="nil"/>
          <w:bottom w:val="nil"/>
          <w:right w:val="nil"/>
          <w:between w:val="nil"/>
        </w:pBdr>
        <w:tabs>
          <w:tab w:val="left" w:pos="142"/>
        </w:tabs>
        <w:spacing w:after="120" w:line="360" w:lineRule="auto"/>
        <w:jc w:val="both"/>
        <w:rPr>
          <w:rFonts w:ascii="Arial" w:eastAsia="Arial" w:hAnsi="Arial" w:cs="Arial"/>
          <w:color w:val="010000"/>
          <w:sz w:val="20"/>
          <w:szCs w:val="20"/>
        </w:rPr>
      </w:pPr>
      <w:r w:rsidRPr="00175523">
        <w:rPr>
          <w:rFonts w:ascii="Arial" w:hAnsi="Arial" w:cs="Arial"/>
          <w:color w:val="010000"/>
          <w:sz w:val="20"/>
        </w:rPr>
        <w:t xml:space="preserve">Article 4: Approve the remuneration level for the Board of Directors and </w:t>
      </w:r>
      <w:r w:rsidR="0046540B" w:rsidRPr="00175523">
        <w:rPr>
          <w:rFonts w:ascii="Arial" w:hAnsi="Arial" w:cs="Arial"/>
          <w:color w:val="010000"/>
          <w:sz w:val="20"/>
        </w:rPr>
        <w:t xml:space="preserve">the </w:t>
      </w:r>
      <w:r w:rsidRPr="00175523">
        <w:rPr>
          <w:rFonts w:ascii="Arial" w:hAnsi="Arial" w:cs="Arial"/>
          <w:color w:val="010000"/>
          <w:sz w:val="20"/>
        </w:rPr>
        <w:t>Supervisory Board in 2023:</w:t>
      </w:r>
    </w:p>
    <w:p w14:paraId="6F943A52" w14:textId="77777777" w:rsidR="002D4F36" w:rsidRPr="00175523" w:rsidRDefault="00BA5748" w:rsidP="00287B71">
      <w:pPr>
        <w:pStyle w:val="ListParagraph"/>
        <w:numPr>
          <w:ilvl w:val="0"/>
          <w:numId w:val="1"/>
        </w:numPr>
        <w:pBdr>
          <w:top w:val="nil"/>
          <w:left w:val="nil"/>
          <w:bottom w:val="nil"/>
          <w:right w:val="nil"/>
          <w:between w:val="nil"/>
        </w:pBdr>
        <w:tabs>
          <w:tab w:val="left" w:pos="142"/>
        </w:tabs>
        <w:spacing w:after="120" w:line="360" w:lineRule="auto"/>
        <w:ind w:left="0" w:firstLine="0"/>
        <w:contextualSpacing w:val="0"/>
        <w:jc w:val="both"/>
        <w:rPr>
          <w:rFonts w:ascii="Arial" w:eastAsia="Arial" w:hAnsi="Arial" w:cs="Arial"/>
          <w:color w:val="010000"/>
          <w:sz w:val="20"/>
          <w:szCs w:val="20"/>
        </w:rPr>
      </w:pPr>
      <w:r w:rsidRPr="00175523">
        <w:rPr>
          <w:rFonts w:ascii="Arial" w:hAnsi="Arial" w:cs="Arial"/>
          <w:color w:val="010000"/>
          <w:sz w:val="20"/>
        </w:rPr>
        <w:t>Remuneration for the Board of Directors is VND 460.8 million;</w:t>
      </w:r>
    </w:p>
    <w:p w14:paraId="18C768AD" w14:textId="77777777" w:rsidR="0046540B" w:rsidRPr="00175523" w:rsidRDefault="00BA5748" w:rsidP="00287B71">
      <w:pPr>
        <w:pBdr>
          <w:top w:val="nil"/>
          <w:left w:val="nil"/>
          <w:bottom w:val="nil"/>
          <w:right w:val="nil"/>
          <w:between w:val="nil"/>
        </w:pBdr>
        <w:tabs>
          <w:tab w:val="left" w:pos="142"/>
        </w:tabs>
        <w:spacing w:after="120" w:line="360" w:lineRule="auto"/>
        <w:jc w:val="both"/>
        <w:rPr>
          <w:rFonts w:ascii="Arial" w:hAnsi="Arial" w:cs="Arial"/>
          <w:color w:val="010000"/>
          <w:sz w:val="20"/>
        </w:rPr>
      </w:pPr>
      <w:r w:rsidRPr="00175523">
        <w:rPr>
          <w:rFonts w:ascii="Arial" w:hAnsi="Arial" w:cs="Arial"/>
          <w:color w:val="010000"/>
          <w:sz w:val="20"/>
        </w:rPr>
        <w:t xml:space="preserve">In which: </w:t>
      </w:r>
    </w:p>
    <w:p w14:paraId="302FA7E6" w14:textId="77777777" w:rsidR="0046540B" w:rsidRPr="00175523" w:rsidRDefault="00BA5748" w:rsidP="00287B71">
      <w:pPr>
        <w:pStyle w:val="ListParagraph"/>
        <w:numPr>
          <w:ilvl w:val="0"/>
          <w:numId w:val="5"/>
        </w:numPr>
        <w:pBdr>
          <w:top w:val="nil"/>
          <w:left w:val="nil"/>
          <w:bottom w:val="nil"/>
          <w:right w:val="nil"/>
          <w:between w:val="nil"/>
        </w:pBdr>
        <w:tabs>
          <w:tab w:val="left" w:pos="142"/>
        </w:tabs>
        <w:spacing w:after="120" w:line="360" w:lineRule="auto"/>
        <w:ind w:left="0" w:firstLine="0"/>
        <w:contextualSpacing w:val="0"/>
        <w:jc w:val="both"/>
        <w:rPr>
          <w:rFonts w:ascii="Arial" w:hAnsi="Arial" w:cs="Arial"/>
          <w:color w:val="010000"/>
          <w:sz w:val="20"/>
        </w:rPr>
      </w:pPr>
      <w:r w:rsidRPr="00175523">
        <w:rPr>
          <w:rFonts w:ascii="Arial" w:hAnsi="Arial" w:cs="Arial"/>
          <w:color w:val="010000"/>
          <w:sz w:val="20"/>
        </w:rPr>
        <w:t>Remuneration of non-executive members of the Board of Directors: VND 307.2 million, which is included in the Company's general and administrative expense in 2024;</w:t>
      </w:r>
    </w:p>
    <w:p w14:paraId="20ED3FDB" w14:textId="442A91FE" w:rsidR="002D4F36" w:rsidRPr="00175523" w:rsidRDefault="00BA5748" w:rsidP="00287B71">
      <w:pPr>
        <w:pStyle w:val="ListParagraph"/>
        <w:numPr>
          <w:ilvl w:val="0"/>
          <w:numId w:val="5"/>
        </w:numPr>
        <w:pBdr>
          <w:top w:val="nil"/>
          <w:left w:val="nil"/>
          <w:bottom w:val="nil"/>
          <w:right w:val="nil"/>
          <w:between w:val="nil"/>
        </w:pBdr>
        <w:tabs>
          <w:tab w:val="left" w:pos="142"/>
        </w:tabs>
        <w:spacing w:after="120" w:line="360" w:lineRule="auto"/>
        <w:ind w:left="0" w:firstLine="0"/>
        <w:contextualSpacing w:val="0"/>
        <w:jc w:val="both"/>
        <w:rPr>
          <w:rFonts w:ascii="Arial" w:eastAsia="Arial" w:hAnsi="Arial" w:cs="Arial"/>
          <w:color w:val="010000"/>
          <w:sz w:val="20"/>
          <w:szCs w:val="20"/>
        </w:rPr>
      </w:pPr>
      <w:r w:rsidRPr="00175523">
        <w:rPr>
          <w:rFonts w:ascii="Arial" w:hAnsi="Arial" w:cs="Arial"/>
          <w:color w:val="010000"/>
          <w:sz w:val="20"/>
        </w:rPr>
        <w:t>Remuneration of executive members of the Board of Directors: VND 153.6 million, which is included in the Company’s general and administrative expense in 2023;</w:t>
      </w:r>
    </w:p>
    <w:p w14:paraId="48B76FFB" w14:textId="54BE369F" w:rsidR="002D4F36" w:rsidRPr="00175523" w:rsidRDefault="00BA5748" w:rsidP="00287B71">
      <w:pPr>
        <w:pStyle w:val="ListParagraph"/>
        <w:numPr>
          <w:ilvl w:val="0"/>
          <w:numId w:val="1"/>
        </w:numPr>
        <w:pBdr>
          <w:top w:val="nil"/>
          <w:left w:val="nil"/>
          <w:bottom w:val="nil"/>
          <w:right w:val="nil"/>
          <w:between w:val="nil"/>
        </w:pBdr>
        <w:tabs>
          <w:tab w:val="left" w:pos="142"/>
        </w:tabs>
        <w:spacing w:after="120" w:line="360" w:lineRule="auto"/>
        <w:ind w:left="0" w:firstLine="0"/>
        <w:contextualSpacing w:val="0"/>
        <w:jc w:val="both"/>
        <w:rPr>
          <w:rFonts w:ascii="Arial" w:eastAsia="Arial" w:hAnsi="Arial" w:cs="Arial"/>
          <w:color w:val="010000"/>
          <w:sz w:val="20"/>
          <w:szCs w:val="20"/>
        </w:rPr>
      </w:pPr>
      <w:r w:rsidRPr="00175523">
        <w:rPr>
          <w:rFonts w:ascii="Arial" w:hAnsi="Arial" w:cs="Arial"/>
          <w:color w:val="010000"/>
          <w:sz w:val="20"/>
        </w:rPr>
        <w:t xml:space="preserve">The remuneration of the Supervisory Board and </w:t>
      </w:r>
      <w:r w:rsidR="0046540B" w:rsidRPr="00175523">
        <w:rPr>
          <w:rFonts w:ascii="Arial" w:hAnsi="Arial" w:cs="Arial"/>
          <w:color w:val="010000"/>
          <w:sz w:val="20"/>
        </w:rPr>
        <w:t xml:space="preserve">the </w:t>
      </w:r>
      <w:r w:rsidRPr="00175523">
        <w:rPr>
          <w:rFonts w:ascii="Arial" w:hAnsi="Arial" w:cs="Arial"/>
          <w:color w:val="010000"/>
          <w:sz w:val="20"/>
        </w:rPr>
        <w:t>Secretariat of the Board of Directors is VND 220.8 million, which is included in the Company's general and administrative expense in 2023.</w:t>
      </w:r>
    </w:p>
    <w:p w14:paraId="404FBC3C" w14:textId="460FE189" w:rsidR="002D4F36" w:rsidRPr="00175523" w:rsidRDefault="00BA5748" w:rsidP="00287B71">
      <w:pPr>
        <w:pBdr>
          <w:top w:val="nil"/>
          <w:left w:val="nil"/>
          <w:bottom w:val="nil"/>
          <w:right w:val="nil"/>
          <w:between w:val="nil"/>
        </w:pBdr>
        <w:tabs>
          <w:tab w:val="left" w:pos="142"/>
        </w:tabs>
        <w:spacing w:after="120" w:line="360" w:lineRule="auto"/>
        <w:jc w:val="both"/>
        <w:rPr>
          <w:rFonts w:ascii="Arial" w:eastAsia="Arial" w:hAnsi="Arial" w:cs="Arial"/>
          <w:color w:val="010000"/>
          <w:sz w:val="20"/>
          <w:szCs w:val="20"/>
        </w:rPr>
      </w:pPr>
      <w:r w:rsidRPr="00175523">
        <w:rPr>
          <w:rFonts w:ascii="Arial" w:hAnsi="Arial" w:cs="Arial"/>
          <w:color w:val="010000"/>
          <w:sz w:val="20"/>
        </w:rPr>
        <w:t xml:space="preserve">Article 5: Approve the profit distribution plan </w:t>
      </w:r>
      <w:r w:rsidR="0046540B" w:rsidRPr="00175523">
        <w:rPr>
          <w:rFonts w:ascii="Arial" w:hAnsi="Arial" w:cs="Arial"/>
          <w:color w:val="010000"/>
          <w:sz w:val="20"/>
        </w:rPr>
        <w:t>in</w:t>
      </w:r>
      <w:r w:rsidRPr="00175523">
        <w:rPr>
          <w:rFonts w:ascii="Arial" w:hAnsi="Arial" w:cs="Arial"/>
          <w:color w:val="010000"/>
          <w:sz w:val="20"/>
        </w:rPr>
        <w:t xml:space="preserve"> 2023: None.</w:t>
      </w:r>
    </w:p>
    <w:p w14:paraId="4DF531A6" w14:textId="5D1F8989" w:rsidR="002D4F36" w:rsidRPr="00175523" w:rsidRDefault="00BA5748" w:rsidP="00287B71">
      <w:pPr>
        <w:pBdr>
          <w:top w:val="nil"/>
          <w:left w:val="nil"/>
          <w:bottom w:val="nil"/>
          <w:right w:val="nil"/>
          <w:between w:val="nil"/>
        </w:pBdr>
        <w:tabs>
          <w:tab w:val="left" w:pos="142"/>
        </w:tabs>
        <w:spacing w:after="120" w:line="360" w:lineRule="auto"/>
        <w:jc w:val="both"/>
        <w:rPr>
          <w:rFonts w:ascii="Arial" w:eastAsia="Arial" w:hAnsi="Arial" w:cs="Arial"/>
          <w:color w:val="010000"/>
          <w:sz w:val="20"/>
          <w:szCs w:val="20"/>
        </w:rPr>
      </w:pPr>
      <w:r w:rsidRPr="00175523">
        <w:rPr>
          <w:rFonts w:ascii="Arial" w:hAnsi="Arial" w:cs="Arial"/>
          <w:color w:val="010000"/>
          <w:sz w:val="20"/>
        </w:rPr>
        <w:t xml:space="preserve">Article 6: Approve the production, business, investment and development </w:t>
      </w:r>
      <w:r w:rsidR="0046540B" w:rsidRPr="00175523">
        <w:rPr>
          <w:rFonts w:ascii="Arial" w:hAnsi="Arial" w:cs="Arial"/>
          <w:color w:val="010000"/>
          <w:sz w:val="20"/>
        </w:rPr>
        <w:t>plan in</w:t>
      </w:r>
      <w:r w:rsidRPr="00175523">
        <w:rPr>
          <w:rFonts w:ascii="Arial" w:hAnsi="Arial" w:cs="Arial"/>
          <w:color w:val="010000"/>
          <w:sz w:val="20"/>
        </w:rPr>
        <w:t xml:space="preserve"> 2024 with the following contents:</w:t>
      </w:r>
    </w:p>
    <w:p w14:paraId="527E7DB4" w14:textId="77777777" w:rsidR="002D4F36" w:rsidRPr="00175523" w:rsidRDefault="00BA5748" w:rsidP="00287B71">
      <w:pPr>
        <w:pBdr>
          <w:top w:val="nil"/>
          <w:left w:val="nil"/>
          <w:bottom w:val="nil"/>
          <w:right w:val="nil"/>
          <w:between w:val="nil"/>
        </w:pBdr>
        <w:tabs>
          <w:tab w:val="left" w:pos="142"/>
        </w:tabs>
        <w:spacing w:after="120" w:line="360" w:lineRule="auto"/>
        <w:jc w:val="both"/>
        <w:rPr>
          <w:rFonts w:ascii="Arial" w:eastAsia="Arial" w:hAnsi="Arial" w:cs="Arial"/>
          <w:color w:val="010000"/>
          <w:sz w:val="20"/>
          <w:szCs w:val="20"/>
        </w:rPr>
      </w:pPr>
      <w:r w:rsidRPr="00175523">
        <w:rPr>
          <w:rFonts w:ascii="Arial" w:hAnsi="Arial" w:cs="Arial"/>
          <w:color w:val="010000"/>
          <w:sz w:val="20"/>
        </w:rPr>
        <w:t>Production and business plan</w:t>
      </w:r>
    </w:p>
    <w:p w14:paraId="59A93868" w14:textId="77777777" w:rsidR="00BA5748" w:rsidRPr="00175523" w:rsidRDefault="00BA5748" w:rsidP="00287B71">
      <w:pPr>
        <w:pStyle w:val="ListParagraph"/>
        <w:numPr>
          <w:ilvl w:val="0"/>
          <w:numId w:val="4"/>
        </w:numPr>
        <w:pBdr>
          <w:top w:val="nil"/>
          <w:left w:val="nil"/>
          <w:bottom w:val="nil"/>
          <w:right w:val="nil"/>
          <w:between w:val="nil"/>
        </w:pBdr>
        <w:tabs>
          <w:tab w:val="left" w:pos="142"/>
          <w:tab w:val="left" w:pos="3118"/>
          <w:tab w:val="left" w:pos="6124"/>
        </w:tabs>
        <w:spacing w:after="120" w:line="360" w:lineRule="auto"/>
        <w:ind w:left="0" w:firstLine="0"/>
        <w:contextualSpacing w:val="0"/>
        <w:jc w:val="both"/>
        <w:rPr>
          <w:rFonts w:ascii="Arial" w:eastAsia="Arial" w:hAnsi="Arial" w:cs="Arial"/>
          <w:color w:val="010000"/>
          <w:sz w:val="20"/>
          <w:szCs w:val="20"/>
        </w:rPr>
      </w:pPr>
      <w:r w:rsidRPr="00175523">
        <w:rPr>
          <w:rFonts w:ascii="Arial" w:hAnsi="Arial" w:cs="Arial"/>
          <w:color w:val="010000"/>
          <w:sz w:val="20"/>
        </w:rPr>
        <w:t>Profit before tax: VND 30,000 million</w:t>
      </w:r>
    </w:p>
    <w:p w14:paraId="4BE5DBB3" w14:textId="77777777" w:rsidR="00BA5748" w:rsidRPr="00175523" w:rsidRDefault="00BA5748" w:rsidP="00287B71">
      <w:pPr>
        <w:pStyle w:val="ListParagraph"/>
        <w:numPr>
          <w:ilvl w:val="0"/>
          <w:numId w:val="4"/>
        </w:numPr>
        <w:pBdr>
          <w:top w:val="nil"/>
          <w:left w:val="nil"/>
          <w:bottom w:val="nil"/>
          <w:right w:val="nil"/>
          <w:between w:val="nil"/>
        </w:pBdr>
        <w:tabs>
          <w:tab w:val="left" w:pos="142"/>
          <w:tab w:val="left" w:pos="3118"/>
          <w:tab w:val="left" w:pos="6124"/>
        </w:tabs>
        <w:spacing w:after="120" w:line="360" w:lineRule="auto"/>
        <w:ind w:left="0" w:firstLine="0"/>
        <w:contextualSpacing w:val="0"/>
        <w:jc w:val="both"/>
        <w:rPr>
          <w:rFonts w:ascii="Arial" w:eastAsia="Arial" w:hAnsi="Arial" w:cs="Arial"/>
          <w:color w:val="010000"/>
          <w:sz w:val="20"/>
          <w:szCs w:val="20"/>
        </w:rPr>
      </w:pPr>
      <w:r w:rsidRPr="00175523">
        <w:rPr>
          <w:rFonts w:ascii="Arial" w:hAnsi="Arial" w:cs="Arial"/>
          <w:color w:val="010000"/>
          <w:sz w:val="20"/>
        </w:rPr>
        <w:t>Revenue: VND 2,448,531 million</w:t>
      </w:r>
    </w:p>
    <w:p w14:paraId="4C2A4DC6" w14:textId="77777777" w:rsidR="00BA5748" w:rsidRPr="00175523" w:rsidRDefault="00BA5748" w:rsidP="00287B71">
      <w:pPr>
        <w:pStyle w:val="ListParagraph"/>
        <w:numPr>
          <w:ilvl w:val="0"/>
          <w:numId w:val="4"/>
        </w:numPr>
        <w:pBdr>
          <w:top w:val="nil"/>
          <w:left w:val="nil"/>
          <w:bottom w:val="nil"/>
          <w:right w:val="nil"/>
          <w:between w:val="nil"/>
        </w:pBdr>
        <w:tabs>
          <w:tab w:val="left" w:pos="142"/>
          <w:tab w:val="left" w:pos="3118"/>
          <w:tab w:val="left" w:pos="6124"/>
        </w:tabs>
        <w:spacing w:after="120" w:line="360" w:lineRule="auto"/>
        <w:ind w:left="0" w:firstLine="0"/>
        <w:contextualSpacing w:val="0"/>
        <w:jc w:val="both"/>
        <w:rPr>
          <w:rFonts w:ascii="Arial" w:eastAsia="Arial" w:hAnsi="Arial" w:cs="Arial"/>
          <w:color w:val="010000"/>
          <w:sz w:val="20"/>
          <w:szCs w:val="20"/>
        </w:rPr>
      </w:pPr>
      <w:r w:rsidRPr="00175523">
        <w:rPr>
          <w:rFonts w:ascii="Arial" w:hAnsi="Arial" w:cs="Arial"/>
          <w:color w:val="010000"/>
          <w:sz w:val="20"/>
        </w:rPr>
        <w:t>Accounts receivable from customers: VND 144,950 million</w:t>
      </w:r>
    </w:p>
    <w:p w14:paraId="0DF6866A" w14:textId="1DEC30A7" w:rsidR="00BA5748" w:rsidRPr="00175523" w:rsidRDefault="00BA5748" w:rsidP="00287B71">
      <w:pPr>
        <w:pStyle w:val="ListParagraph"/>
        <w:numPr>
          <w:ilvl w:val="0"/>
          <w:numId w:val="4"/>
        </w:numPr>
        <w:pBdr>
          <w:top w:val="nil"/>
          <w:left w:val="nil"/>
          <w:bottom w:val="nil"/>
          <w:right w:val="nil"/>
          <w:between w:val="nil"/>
        </w:pBdr>
        <w:tabs>
          <w:tab w:val="left" w:pos="142"/>
          <w:tab w:val="left" w:pos="3118"/>
          <w:tab w:val="left" w:pos="6124"/>
        </w:tabs>
        <w:spacing w:after="120" w:line="360" w:lineRule="auto"/>
        <w:ind w:left="0" w:firstLine="0"/>
        <w:contextualSpacing w:val="0"/>
        <w:jc w:val="both"/>
        <w:rPr>
          <w:rFonts w:ascii="Arial" w:eastAsia="Arial" w:hAnsi="Arial" w:cs="Arial"/>
          <w:color w:val="010000"/>
          <w:sz w:val="20"/>
          <w:szCs w:val="20"/>
        </w:rPr>
      </w:pPr>
      <w:r w:rsidRPr="00175523">
        <w:rPr>
          <w:rFonts w:ascii="Arial" w:hAnsi="Arial" w:cs="Arial"/>
          <w:color w:val="010000"/>
          <w:sz w:val="20"/>
        </w:rPr>
        <w:t>Basic depreciation of fixed assets</w:t>
      </w:r>
      <w:r w:rsidR="0046540B" w:rsidRPr="00175523">
        <w:rPr>
          <w:rFonts w:ascii="Arial" w:hAnsi="Arial" w:cs="Arial"/>
          <w:color w:val="010000"/>
          <w:sz w:val="20"/>
        </w:rPr>
        <w:t>:</w:t>
      </w:r>
      <w:r w:rsidRPr="00175523">
        <w:rPr>
          <w:rFonts w:ascii="Arial" w:hAnsi="Arial" w:cs="Arial"/>
          <w:color w:val="010000"/>
          <w:sz w:val="20"/>
        </w:rPr>
        <w:t xml:space="preserve"> VND 165,067 million</w:t>
      </w:r>
    </w:p>
    <w:p w14:paraId="458F500C" w14:textId="09132F05" w:rsidR="002D4F36" w:rsidRPr="00175523" w:rsidRDefault="00BA5748" w:rsidP="00287B71">
      <w:pPr>
        <w:pBdr>
          <w:top w:val="nil"/>
          <w:left w:val="nil"/>
          <w:bottom w:val="nil"/>
          <w:right w:val="nil"/>
          <w:between w:val="nil"/>
        </w:pBdr>
        <w:tabs>
          <w:tab w:val="left" w:pos="142"/>
        </w:tabs>
        <w:spacing w:after="120" w:line="360" w:lineRule="auto"/>
        <w:jc w:val="both"/>
        <w:rPr>
          <w:rFonts w:ascii="Arial" w:eastAsia="Arial" w:hAnsi="Arial" w:cs="Arial"/>
          <w:color w:val="010000"/>
          <w:sz w:val="20"/>
          <w:szCs w:val="20"/>
        </w:rPr>
      </w:pPr>
      <w:r w:rsidRPr="00175523">
        <w:rPr>
          <w:rFonts w:ascii="Arial" w:hAnsi="Arial" w:cs="Arial"/>
          <w:color w:val="010000"/>
          <w:sz w:val="20"/>
        </w:rPr>
        <w:t>Investment plan for 2024</w:t>
      </w:r>
      <w:r w:rsidR="0046540B" w:rsidRPr="00175523">
        <w:rPr>
          <w:rFonts w:ascii="Arial" w:hAnsi="Arial" w:cs="Arial"/>
          <w:color w:val="010000"/>
          <w:sz w:val="20"/>
        </w:rPr>
        <w:t>:</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6"/>
        <w:gridCol w:w="4912"/>
        <w:gridCol w:w="1118"/>
        <w:gridCol w:w="2281"/>
      </w:tblGrid>
      <w:tr w:rsidR="002D4F36" w:rsidRPr="00175523" w14:paraId="3283093D" w14:textId="77777777" w:rsidTr="00175523">
        <w:tc>
          <w:tcPr>
            <w:tcW w:w="391" w:type="pct"/>
            <w:shd w:val="clear" w:color="auto" w:fill="auto"/>
            <w:tcMar>
              <w:top w:w="0" w:type="dxa"/>
              <w:bottom w:w="0" w:type="dxa"/>
            </w:tcMar>
            <w:vAlign w:val="center"/>
          </w:tcPr>
          <w:p w14:paraId="25FEB766" w14:textId="77777777" w:rsidR="002D4F36" w:rsidRPr="00175523" w:rsidRDefault="00BA5748" w:rsidP="00175523">
            <w:pPr>
              <w:pBdr>
                <w:top w:val="nil"/>
                <w:left w:val="nil"/>
                <w:bottom w:val="nil"/>
                <w:right w:val="nil"/>
                <w:between w:val="nil"/>
              </w:pBdr>
              <w:tabs>
                <w:tab w:val="left" w:pos="142"/>
              </w:tabs>
              <w:spacing w:after="120" w:line="360" w:lineRule="auto"/>
              <w:jc w:val="center"/>
              <w:rPr>
                <w:rFonts w:ascii="Arial" w:eastAsia="Arial" w:hAnsi="Arial" w:cs="Arial"/>
                <w:color w:val="010000"/>
                <w:sz w:val="20"/>
                <w:szCs w:val="20"/>
              </w:rPr>
            </w:pPr>
            <w:r w:rsidRPr="00175523">
              <w:rPr>
                <w:rFonts w:ascii="Arial" w:hAnsi="Arial" w:cs="Arial"/>
                <w:color w:val="010000"/>
                <w:sz w:val="20"/>
              </w:rPr>
              <w:t>No.</w:t>
            </w:r>
          </w:p>
        </w:tc>
        <w:tc>
          <w:tcPr>
            <w:tcW w:w="2724" w:type="pct"/>
            <w:shd w:val="clear" w:color="auto" w:fill="auto"/>
            <w:tcMar>
              <w:top w:w="0" w:type="dxa"/>
              <w:bottom w:w="0" w:type="dxa"/>
            </w:tcMar>
            <w:vAlign w:val="center"/>
          </w:tcPr>
          <w:p w14:paraId="37CE9221" w14:textId="77777777" w:rsidR="002D4F36" w:rsidRPr="00175523" w:rsidRDefault="00BA5748" w:rsidP="00175523">
            <w:pPr>
              <w:pBdr>
                <w:top w:val="nil"/>
                <w:left w:val="nil"/>
                <w:bottom w:val="nil"/>
                <w:right w:val="nil"/>
                <w:between w:val="nil"/>
              </w:pBdr>
              <w:tabs>
                <w:tab w:val="left" w:pos="142"/>
              </w:tabs>
              <w:spacing w:after="120" w:line="360" w:lineRule="auto"/>
              <w:jc w:val="center"/>
              <w:rPr>
                <w:rFonts w:ascii="Arial" w:eastAsia="Arial" w:hAnsi="Arial" w:cs="Arial"/>
                <w:color w:val="010000"/>
                <w:sz w:val="20"/>
                <w:szCs w:val="20"/>
              </w:rPr>
            </w:pPr>
            <w:r w:rsidRPr="00175523">
              <w:rPr>
                <w:rFonts w:ascii="Arial" w:hAnsi="Arial" w:cs="Arial"/>
                <w:color w:val="010000"/>
                <w:sz w:val="20"/>
              </w:rPr>
              <w:t>Investment portfolio</w:t>
            </w:r>
          </w:p>
        </w:tc>
        <w:tc>
          <w:tcPr>
            <w:tcW w:w="620" w:type="pct"/>
            <w:shd w:val="clear" w:color="auto" w:fill="auto"/>
            <w:tcMar>
              <w:top w:w="0" w:type="dxa"/>
              <w:bottom w:w="0" w:type="dxa"/>
            </w:tcMar>
            <w:vAlign w:val="center"/>
          </w:tcPr>
          <w:p w14:paraId="0AC8E02C" w14:textId="77777777" w:rsidR="002D4F36" w:rsidRPr="00175523" w:rsidRDefault="00BA5748" w:rsidP="00175523">
            <w:pPr>
              <w:pBdr>
                <w:top w:val="nil"/>
                <w:left w:val="nil"/>
                <w:bottom w:val="nil"/>
                <w:right w:val="nil"/>
                <w:between w:val="nil"/>
              </w:pBdr>
              <w:tabs>
                <w:tab w:val="left" w:pos="142"/>
              </w:tabs>
              <w:spacing w:after="120" w:line="360" w:lineRule="auto"/>
              <w:jc w:val="center"/>
              <w:rPr>
                <w:rFonts w:ascii="Arial" w:eastAsia="Arial" w:hAnsi="Arial" w:cs="Arial"/>
                <w:color w:val="010000"/>
                <w:sz w:val="20"/>
                <w:szCs w:val="20"/>
              </w:rPr>
            </w:pPr>
            <w:r w:rsidRPr="00175523">
              <w:rPr>
                <w:rFonts w:ascii="Arial" w:hAnsi="Arial" w:cs="Arial"/>
                <w:color w:val="010000"/>
                <w:sz w:val="20"/>
              </w:rPr>
              <w:t>Unit</w:t>
            </w:r>
          </w:p>
        </w:tc>
        <w:tc>
          <w:tcPr>
            <w:tcW w:w="1265" w:type="pct"/>
            <w:shd w:val="clear" w:color="auto" w:fill="auto"/>
            <w:tcMar>
              <w:top w:w="0" w:type="dxa"/>
              <w:bottom w:w="0" w:type="dxa"/>
            </w:tcMar>
            <w:vAlign w:val="center"/>
          </w:tcPr>
          <w:p w14:paraId="574CA5D7" w14:textId="1AD3D0A7" w:rsidR="002D4F36" w:rsidRPr="00175523" w:rsidRDefault="0046540B" w:rsidP="00175523">
            <w:pPr>
              <w:pBdr>
                <w:top w:val="nil"/>
                <w:left w:val="nil"/>
                <w:bottom w:val="nil"/>
                <w:right w:val="nil"/>
                <w:between w:val="nil"/>
              </w:pBdr>
              <w:tabs>
                <w:tab w:val="left" w:pos="142"/>
              </w:tabs>
              <w:spacing w:after="120" w:line="360" w:lineRule="auto"/>
              <w:jc w:val="center"/>
              <w:rPr>
                <w:rFonts w:ascii="Arial" w:eastAsia="Arial" w:hAnsi="Arial" w:cs="Arial"/>
                <w:color w:val="010000"/>
                <w:sz w:val="20"/>
                <w:szCs w:val="20"/>
              </w:rPr>
            </w:pPr>
            <w:r w:rsidRPr="00175523">
              <w:rPr>
                <w:rFonts w:ascii="Arial" w:hAnsi="Arial" w:cs="Arial"/>
                <w:color w:val="010000"/>
                <w:sz w:val="20"/>
              </w:rPr>
              <w:t>2024 Plan</w:t>
            </w:r>
          </w:p>
        </w:tc>
      </w:tr>
      <w:tr w:rsidR="002D4F36" w:rsidRPr="00175523" w14:paraId="0AD95B30" w14:textId="77777777" w:rsidTr="00175523">
        <w:tc>
          <w:tcPr>
            <w:tcW w:w="391" w:type="pct"/>
            <w:shd w:val="clear" w:color="auto" w:fill="auto"/>
            <w:tcMar>
              <w:top w:w="0" w:type="dxa"/>
              <w:bottom w:w="0" w:type="dxa"/>
            </w:tcMar>
            <w:vAlign w:val="center"/>
          </w:tcPr>
          <w:p w14:paraId="680644B8" w14:textId="77777777" w:rsidR="002D4F36" w:rsidRPr="00175523" w:rsidRDefault="00BA5748" w:rsidP="00175523">
            <w:pPr>
              <w:pBdr>
                <w:top w:val="nil"/>
                <w:left w:val="nil"/>
                <w:bottom w:val="nil"/>
                <w:right w:val="nil"/>
                <w:between w:val="nil"/>
              </w:pBdr>
              <w:tabs>
                <w:tab w:val="left" w:pos="142"/>
              </w:tabs>
              <w:spacing w:after="120" w:line="360" w:lineRule="auto"/>
              <w:jc w:val="center"/>
              <w:rPr>
                <w:rFonts w:ascii="Arial" w:eastAsia="Arial" w:hAnsi="Arial" w:cs="Arial"/>
                <w:color w:val="010000"/>
                <w:sz w:val="20"/>
                <w:szCs w:val="20"/>
              </w:rPr>
            </w:pPr>
            <w:r w:rsidRPr="00175523">
              <w:rPr>
                <w:rFonts w:ascii="Arial" w:hAnsi="Arial" w:cs="Arial"/>
                <w:color w:val="010000"/>
                <w:sz w:val="20"/>
              </w:rPr>
              <w:t>1</w:t>
            </w:r>
          </w:p>
        </w:tc>
        <w:tc>
          <w:tcPr>
            <w:tcW w:w="2724" w:type="pct"/>
            <w:shd w:val="clear" w:color="auto" w:fill="auto"/>
            <w:tcMar>
              <w:top w:w="0" w:type="dxa"/>
              <w:bottom w:w="0" w:type="dxa"/>
            </w:tcMar>
            <w:vAlign w:val="center"/>
          </w:tcPr>
          <w:p w14:paraId="538745B2" w14:textId="77777777" w:rsidR="002D4F36" w:rsidRPr="00175523" w:rsidRDefault="00BA5748" w:rsidP="00175523">
            <w:pPr>
              <w:pBdr>
                <w:top w:val="nil"/>
                <w:left w:val="nil"/>
                <w:bottom w:val="nil"/>
                <w:right w:val="nil"/>
                <w:between w:val="nil"/>
              </w:pBdr>
              <w:tabs>
                <w:tab w:val="left" w:pos="142"/>
              </w:tabs>
              <w:spacing w:after="120" w:line="360" w:lineRule="auto"/>
              <w:rPr>
                <w:rFonts w:ascii="Arial" w:eastAsia="Arial" w:hAnsi="Arial" w:cs="Arial"/>
                <w:color w:val="010000"/>
                <w:sz w:val="20"/>
                <w:szCs w:val="20"/>
              </w:rPr>
            </w:pPr>
            <w:r w:rsidRPr="00175523">
              <w:rPr>
                <w:rFonts w:ascii="Arial" w:hAnsi="Arial" w:cs="Arial"/>
                <w:color w:val="010000"/>
                <w:sz w:val="20"/>
              </w:rPr>
              <w:t xml:space="preserve">Project to build a CNC Factory to produce furniture at the </w:t>
            </w:r>
            <w:proofErr w:type="spellStart"/>
            <w:r w:rsidRPr="00175523">
              <w:rPr>
                <w:rFonts w:ascii="Arial" w:hAnsi="Arial" w:cs="Arial"/>
                <w:color w:val="010000"/>
                <w:sz w:val="20"/>
              </w:rPr>
              <w:t>Eurotile</w:t>
            </w:r>
            <w:proofErr w:type="spellEnd"/>
            <w:r w:rsidRPr="00175523">
              <w:rPr>
                <w:rFonts w:ascii="Arial" w:hAnsi="Arial" w:cs="Arial"/>
                <w:color w:val="010000"/>
                <w:sz w:val="20"/>
              </w:rPr>
              <w:t xml:space="preserve"> Factory</w:t>
            </w:r>
          </w:p>
        </w:tc>
        <w:tc>
          <w:tcPr>
            <w:tcW w:w="620" w:type="pct"/>
            <w:shd w:val="clear" w:color="auto" w:fill="auto"/>
            <w:tcMar>
              <w:top w:w="0" w:type="dxa"/>
              <w:bottom w:w="0" w:type="dxa"/>
            </w:tcMar>
            <w:vAlign w:val="center"/>
          </w:tcPr>
          <w:p w14:paraId="0789AB5D" w14:textId="77777777" w:rsidR="002D4F36" w:rsidRPr="00175523" w:rsidRDefault="00BA5748" w:rsidP="00175523">
            <w:pPr>
              <w:pBdr>
                <w:top w:val="nil"/>
                <w:left w:val="nil"/>
                <w:bottom w:val="nil"/>
                <w:right w:val="nil"/>
                <w:between w:val="nil"/>
              </w:pBdr>
              <w:tabs>
                <w:tab w:val="left" w:pos="142"/>
              </w:tabs>
              <w:spacing w:after="120" w:line="360" w:lineRule="auto"/>
              <w:jc w:val="center"/>
              <w:rPr>
                <w:rFonts w:ascii="Arial" w:eastAsia="Arial" w:hAnsi="Arial" w:cs="Arial"/>
                <w:color w:val="010000"/>
                <w:sz w:val="20"/>
                <w:szCs w:val="20"/>
              </w:rPr>
            </w:pPr>
            <w:r w:rsidRPr="00175523">
              <w:rPr>
                <w:rFonts w:ascii="Arial" w:hAnsi="Arial" w:cs="Arial"/>
                <w:color w:val="010000"/>
                <w:sz w:val="20"/>
              </w:rPr>
              <w:t>Million VND</w:t>
            </w:r>
          </w:p>
        </w:tc>
        <w:tc>
          <w:tcPr>
            <w:tcW w:w="1265" w:type="pct"/>
            <w:shd w:val="clear" w:color="auto" w:fill="auto"/>
            <w:tcMar>
              <w:top w:w="0" w:type="dxa"/>
              <w:bottom w:w="0" w:type="dxa"/>
            </w:tcMar>
            <w:vAlign w:val="center"/>
          </w:tcPr>
          <w:p w14:paraId="477FBF43" w14:textId="77777777" w:rsidR="002D4F36" w:rsidRPr="00175523" w:rsidRDefault="00BA5748" w:rsidP="00175523">
            <w:pPr>
              <w:pBdr>
                <w:top w:val="nil"/>
                <w:left w:val="nil"/>
                <w:bottom w:val="nil"/>
                <w:right w:val="nil"/>
                <w:between w:val="nil"/>
              </w:pBdr>
              <w:tabs>
                <w:tab w:val="left" w:pos="142"/>
              </w:tabs>
              <w:spacing w:after="120" w:line="360" w:lineRule="auto"/>
              <w:jc w:val="right"/>
              <w:rPr>
                <w:rFonts w:ascii="Arial" w:eastAsia="Arial" w:hAnsi="Arial" w:cs="Arial"/>
                <w:color w:val="010000"/>
                <w:sz w:val="20"/>
                <w:szCs w:val="20"/>
              </w:rPr>
            </w:pPr>
            <w:r w:rsidRPr="00175523">
              <w:rPr>
                <w:rFonts w:ascii="Arial" w:hAnsi="Arial" w:cs="Arial"/>
                <w:color w:val="010000"/>
                <w:sz w:val="20"/>
              </w:rPr>
              <w:t>30,000</w:t>
            </w:r>
          </w:p>
        </w:tc>
      </w:tr>
      <w:tr w:rsidR="002D4F36" w:rsidRPr="00175523" w14:paraId="0AB46A9D" w14:textId="77777777" w:rsidTr="00175523">
        <w:tc>
          <w:tcPr>
            <w:tcW w:w="391" w:type="pct"/>
            <w:shd w:val="clear" w:color="auto" w:fill="auto"/>
            <w:tcMar>
              <w:top w:w="0" w:type="dxa"/>
              <w:bottom w:w="0" w:type="dxa"/>
            </w:tcMar>
            <w:vAlign w:val="center"/>
          </w:tcPr>
          <w:p w14:paraId="4F8BFEDA" w14:textId="77777777" w:rsidR="002D4F36" w:rsidRPr="00175523" w:rsidRDefault="00BA5748" w:rsidP="00175523">
            <w:pPr>
              <w:pBdr>
                <w:top w:val="nil"/>
                <w:left w:val="nil"/>
                <w:bottom w:val="nil"/>
                <w:right w:val="nil"/>
                <w:between w:val="nil"/>
              </w:pBdr>
              <w:tabs>
                <w:tab w:val="left" w:pos="142"/>
              </w:tabs>
              <w:spacing w:after="120" w:line="360" w:lineRule="auto"/>
              <w:jc w:val="center"/>
              <w:rPr>
                <w:rFonts w:ascii="Arial" w:eastAsia="Arial" w:hAnsi="Arial" w:cs="Arial"/>
                <w:color w:val="010000"/>
                <w:sz w:val="20"/>
                <w:szCs w:val="20"/>
              </w:rPr>
            </w:pPr>
            <w:r w:rsidRPr="00175523">
              <w:rPr>
                <w:rFonts w:ascii="Arial" w:hAnsi="Arial" w:cs="Arial"/>
                <w:color w:val="010000"/>
                <w:sz w:val="20"/>
              </w:rPr>
              <w:t>2</w:t>
            </w:r>
          </w:p>
        </w:tc>
        <w:tc>
          <w:tcPr>
            <w:tcW w:w="2724" w:type="pct"/>
            <w:shd w:val="clear" w:color="auto" w:fill="auto"/>
            <w:tcMar>
              <w:top w:w="0" w:type="dxa"/>
              <w:bottom w:w="0" w:type="dxa"/>
            </w:tcMar>
            <w:vAlign w:val="center"/>
          </w:tcPr>
          <w:p w14:paraId="48BCD6CC" w14:textId="77777777" w:rsidR="002D4F36" w:rsidRPr="00175523" w:rsidRDefault="00BA5748" w:rsidP="00175523">
            <w:pPr>
              <w:pBdr>
                <w:top w:val="nil"/>
                <w:left w:val="nil"/>
                <w:bottom w:val="nil"/>
                <w:right w:val="nil"/>
                <w:between w:val="nil"/>
              </w:pBdr>
              <w:tabs>
                <w:tab w:val="left" w:pos="142"/>
              </w:tabs>
              <w:spacing w:after="120" w:line="360" w:lineRule="auto"/>
              <w:rPr>
                <w:rFonts w:ascii="Arial" w:eastAsia="Arial" w:hAnsi="Arial" w:cs="Arial"/>
                <w:color w:val="010000"/>
                <w:sz w:val="20"/>
                <w:szCs w:val="20"/>
              </w:rPr>
            </w:pPr>
            <w:r w:rsidRPr="00175523">
              <w:rPr>
                <w:rFonts w:ascii="Arial" w:hAnsi="Arial" w:cs="Arial"/>
                <w:color w:val="010000"/>
                <w:sz w:val="20"/>
              </w:rPr>
              <w:t xml:space="preserve">Project to invest in grain spreading trucks in the sintered stone kilns of the </w:t>
            </w:r>
            <w:proofErr w:type="spellStart"/>
            <w:r w:rsidRPr="00175523">
              <w:rPr>
                <w:rFonts w:ascii="Arial" w:hAnsi="Arial" w:cs="Arial"/>
                <w:color w:val="010000"/>
                <w:sz w:val="20"/>
              </w:rPr>
              <w:t>Eurotile</w:t>
            </w:r>
            <w:proofErr w:type="spellEnd"/>
            <w:r w:rsidRPr="00175523">
              <w:rPr>
                <w:rFonts w:ascii="Arial" w:hAnsi="Arial" w:cs="Arial"/>
                <w:color w:val="010000"/>
                <w:sz w:val="20"/>
              </w:rPr>
              <w:t xml:space="preserve"> Factory</w:t>
            </w:r>
          </w:p>
        </w:tc>
        <w:tc>
          <w:tcPr>
            <w:tcW w:w="620" w:type="pct"/>
            <w:shd w:val="clear" w:color="auto" w:fill="auto"/>
            <w:tcMar>
              <w:top w:w="0" w:type="dxa"/>
              <w:bottom w:w="0" w:type="dxa"/>
            </w:tcMar>
            <w:vAlign w:val="center"/>
          </w:tcPr>
          <w:p w14:paraId="0F8935A4" w14:textId="77777777" w:rsidR="002D4F36" w:rsidRPr="00175523" w:rsidRDefault="00BA5748" w:rsidP="00175523">
            <w:pPr>
              <w:pBdr>
                <w:top w:val="nil"/>
                <w:left w:val="nil"/>
                <w:bottom w:val="nil"/>
                <w:right w:val="nil"/>
                <w:between w:val="nil"/>
              </w:pBdr>
              <w:tabs>
                <w:tab w:val="left" w:pos="142"/>
              </w:tabs>
              <w:spacing w:after="120" w:line="360" w:lineRule="auto"/>
              <w:jc w:val="center"/>
              <w:rPr>
                <w:rFonts w:ascii="Arial" w:eastAsia="Arial" w:hAnsi="Arial" w:cs="Arial"/>
                <w:color w:val="010000"/>
                <w:sz w:val="20"/>
                <w:szCs w:val="20"/>
              </w:rPr>
            </w:pPr>
            <w:r w:rsidRPr="00175523">
              <w:rPr>
                <w:rFonts w:ascii="Arial" w:hAnsi="Arial" w:cs="Arial"/>
                <w:color w:val="010000"/>
                <w:sz w:val="20"/>
              </w:rPr>
              <w:t>Million VND</w:t>
            </w:r>
          </w:p>
        </w:tc>
        <w:tc>
          <w:tcPr>
            <w:tcW w:w="1265" w:type="pct"/>
            <w:shd w:val="clear" w:color="auto" w:fill="auto"/>
            <w:tcMar>
              <w:top w:w="0" w:type="dxa"/>
              <w:bottom w:w="0" w:type="dxa"/>
            </w:tcMar>
            <w:vAlign w:val="center"/>
          </w:tcPr>
          <w:p w14:paraId="1DDB8CC7" w14:textId="77777777" w:rsidR="002D4F36" w:rsidRPr="00175523" w:rsidRDefault="00BA5748" w:rsidP="00175523">
            <w:pPr>
              <w:pBdr>
                <w:top w:val="nil"/>
                <w:left w:val="nil"/>
                <w:bottom w:val="nil"/>
                <w:right w:val="nil"/>
                <w:between w:val="nil"/>
              </w:pBdr>
              <w:tabs>
                <w:tab w:val="left" w:pos="142"/>
              </w:tabs>
              <w:spacing w:after="120" w:line="360" w:lineRule="auto"/>
              <w:jc w:val="right"/>
              <w:rPr>
                <w:rFonts w:ascii="Arial" w:eastAsia="Arial" w:hAnsi="Arial" w:cs="Arial"/>
                <w:color w:val="010000"/>
                <w:sz w:val="20"/>
                <w:szCs w:val="20"/>
              </w:rPr>
            </w:pPr>
            <w:r w:rsidRPr="00175523">
              <w:rPr>
                <w:rFonts w:ascii="Arial" w:hAnsi="Arial" w:cs="Arial"/>
                <w:color w:val="010000"/>
                <w:sz w:val="20"/>
              </w:rPr>
              <w:t>15,000</w:t>
            </w:r>
          </w:p>
        </w:tc>
      </w:tr>
      <w:tr w:rsidR="002D4F36" w:rsidRPr="00175523" w14:paraId="162FFB59" w14:textId="77777777" w:rsidTr="00175523">
        <w:tc>
          <w:tcPr>
            <w:tcW w:w="391" w:type="pct"/>
            <w:shd w:val="clear" w:color="auto" w:fill="auto"/>
            <w:tcMar>
              <w:top w:w="0" w:type="dxa"/>
              <w:bottom w:w="0" w:type="dxa"/>
            </w:tcMar>
            <w:vAlign w:val="center"/>
          </w:tcPr>
          <w:p w14:paraId="466AC4FA" w14:textId="77777777" w:rsidR="002D4F36" w:rsidRPr="00175523" w:rsidRDefault="002D4F36" w:rsidP="00175523">
            <w:pPr>
              <w:tabs>
                <w:tab w:val="left" w:pos="142"/>
              </w:tabs>
              <w:spacing w:after="120" w:line="360" w:lineRule="auto"/>
              <w:jc w:val="center"/>
              <w:rPr>
                <w:rFonts w:ascii="Arial" w:eastAsia="Arial" w:hAnsi="Arial" w:cs="Arial"/>
                <w:color w:val="010000"/>
                <w:sz w:val="20"/>
                <w:szCs w:val="20"/>
              </w:rPr>
            </w:pPr>
          </w:p>
        </w:tc>
        <w:tc>
          <w:tcPr>
            <w:tcW w:w="2724" w:type="pct"/>
            <w:shd w:val="clear" w:color="auto" w:fill="auto"/>
            <w:tcMar>
              <w:top w:w="0" w:type="dxa"/>
              <w:bottom w:w="0" w:type="dxa"/>
            </w:tcMar>
            <w:vAlign w:val="center"/>
          </w:tcPr>
          <w:p w14:paraId="091390A7" w14:textId="77777777" w:rsidR="002D4F36" w:rsidRPr="00175523" w:rsidRDefault="00BA5748" w:rsidP="00175523">
            <w:pPr>
              <w:pBdr>
                <w:top w:val="nil"/>
                <w:left w:val="nil"/>
                <w:bottom w:val="nil"/>
                <w:right w:val="nil"/>
                <w:between w:val="nil"/>
              </w:pBdr>
              <w:tabs>
                <w:tab w:val="left" w:pos="142"/>
              </w:tabs>
              <w:spacing w:after="120" w:line="360" w:lineRule="auto"/>
              <w:rPr>
                <w:rFonts w:ascii="Arial" w:eastAsia="Arial" w:hAnsi="Arial" w:cs="Arial"/>
                <w:color w:val="010000"/>
                <w:sz w:val="20"/>
                <w:szCs w:val="20"/>
              </w:rPr>
            </w:pPr>
            <w:r w:rsidRPr="00175523">
              <w:rPr>
                <w:rFonts w:ascii="Arial" w:hAnsi="Arial" w:cs="Arial"/>
                <w:color w:val="010000"/>
                <w:sz w:val="20"/>
              </w:rPr>
              <w:t>Total</w:t>
            </w:r>
          </w:p>
        </w:tc>
        <w:tc>
          <w:tcPr>
            <w:tcW w:w="620" w:type="pct"/>
            <w:shd w:val="clear" w:color="auto" w:fill="auto"/>
            <w:tcMar>
              <w:top w:w="0" w:type="dxa"/>
              <w:bottom w:w="0" w:type="dxa"/>
            </w:tcMar>
            <w:vAlign w:val="center"/>
          </w:tcPr>
          <w:p w14:paraId="4EA10460" w14:textId="77777777" w:rsidR="002D4F36" w:rsidRPr="00175523" w:rsidRDefault="002D4F36" w:rsidP="00175523">
            <w:pPr>
              <w:pBdr>
                <w:top w:val="nil"/>
                <w:left w:val="nil"/>
                <w:bottom w:val="nil"/>
                <w:right w:val="nil"/>
                <w:between w:val="nil"/>
              </w:pBdr>
              <w:tabs>
                <w:tab w:val="left" w:pos="142"/>
              </w:tabs>
              <w:spacing w:after="120" w:line="360" w:lineRule="auto"/>
              <w:rPr>
                <w:rFonts w:ascii="Arial" w:eastAsia="Arial" w:hAnsi="Arial" w:cs="Arial"/>
                <w:color w:val="010000"/>
                <w:sz w:val="20"/>
                <w:szCs w:val="20"/>
              </w:rPr>
            </w:pPr>
          </w:p>
        </w:tc>
        <w:tc>
          <w:tcPr>
            <w:tcW w:w="1265" w:type="pct"/>
            <w:shd w:val="clear" w:color="auto" w:fill="auto"/>
            <w:tcMar>
              <w:top w:w="0" w:type="dxa"/>
              <w:bottom w:w="0" w:type="dxa"/>
            </w:tcMar>
            <w:vAlign w:val="center"/>
          </w:tcPr>
          <w:p w14:paraId="1231A913" w14:textId="77777777" w:rsidR="002D4F36" w:rsidRPr="00175523" w:rsidRDefault="00BA5748" w:rsidP="00175523">
            <w:pPr>
              <w:pBdr>
                <w:top w:val="nil"/>
                <w:left w:val="nil"/>
                <w:bottom w:val="nil"/>
                <w:right w:val="nil"/>
                <w:between w:val="nil"/>
              </w:pBdr>
              <w:tabs>
                <w:tab w:val="left" w:pos="142"/>
              </w:tabs>
              <w:spacing w:after="120" w:line="360" w:lineRule="auto"/>
              <w:jc w:val="right"/>
              <w:rPr>
                <w:rFonts w:ascii="Arial" w:eastAsia="Arial" w:hAnsi="Arial" w:cs="Arial"/>
                <w:color w:val="010000"/>
                <w:sz w:val="20"/>
                <w:szCs w:val="20"/>
              </w:rPr>
            </w:pPr>
            <w:r w:rsidRPr="00175523">
              <w:rPr>
                <w:rFonts w:ascii="Arial" w:hAnsi="Arial" w:cs="Arial"/>
                <w:color w:val="010000"/>
                <w:sz w:val="20"/>
              </w:rPr>
              <w:t>45,000</w:t>
            </w:r>
          </w:p>
        </w:tc>
      </w:tr>
    </w:tbl>
    <w:p w14:paraId="49CA36B6" w14:textId="77777777" w:rsidR="002D4F36" w:rsidRPr="00175523" w:rsidRDefault="00BA5748" w:rsidP="00175523">
      <w:pPr>
        <w:pBdr>
          <w:top w:val="nil"/>
          <w:left w:val="nil"/>
          <w:bottom w:val="nil"/>
          <w:right w:val="nil"/>
          <w:between w:val="nil"/>
        </w:pBdr>
        <w:tabs>
          <w:tab w:val="left" w:pos="142"/>
        </w:tabs>
        <w:spacing w:after="120" w:line="360" w:lineRule="auto"/>
        <w:rPr>
          <w:rFonts w:ascii="Arial" w:eastAsia="Arial" w:hAnsi="Arial" w:cs="Arial"/>
          <w:color w:val="010000"/>
          <w:sz w:val="20"/>
          <w:szCs w:val="20"/>
        </w:rPr>
      </w:pPr>
      <w:r w:rsidRPr="00175523">
        <w:rPr>
          <w:rFonts w:ascii="Arial" w:hAnsi="Arial" w:cs="Arial"/>
          <w:color w:val="010000"/>
          <w:sz w:val="20"/>
        </w:rPr>
        <w:t>Authorize the Board of Directors to implement the next steps of investment approved by the General Meeting of Shareholders.</w:t>
      </w:r>
    </w:p>
    <w:p w14:paraId="6DA1B27D" w14:textId="4C5E8958" w:rsidR="002D4F36" w:rsidRPr="00175523" w:rsidRDefault="00BA5748" w:rsidP="00175523">
      <w:pPr>
        <w:pBdr>
          <w:top w:val="nil"/>
          <w:left w:val="nil"/>
          <w:bottom w:val="nil"/>
          <w:right w:val="nil"/>
          <w:between w:val="nil"/>
        </w:pBdr>
        <w:tabs>
          <w:tab w:val="left" w:pos="142"/>
        </w:tabs>
        <w:spacing w:after="120" w:line="360" w:lineRule="auto"/>
        <w:rPr>
          <w:rFonts w:ascii="Arial" w:eastAsia="Arial" w:hAnsi="Arial" w:cs="Arial"/>
          <w:color w:val="010000"/>
          <w:sz w:val="20"/>
          <w:szCs w:val="20"/>
        </w:rPr>
      </w:pPr>
      <w:r w:rsidRPr="00175523">
        <w:rPr>
          <w:rFonts w:ascii="Arial" w:hAnsi="Arial" w:cs="Arial"/>
          <w:color w:val="010000"/>
          <w:sz w:val="20"/>
        </w:rPr>
        <w:t xml:space="preserve">Article 7: Approve the remuneration level for the Board of Directors and </w:t>
      </w:r>
      <w:r w:rsidR="0046540B" w:rsidRPr="00175523">
        <w:rPr>
          <w:rFonts w:ascii="Arial" w:hAnsi="Arial" w:cs="Arial"/>
          <w:color w:val="010000"/>
          <w:sz w:val="20"/>
        </w:rPr>
        <w:t xml:space="preserve">the </w:t>
      </w:r>
      <w:r w:rsidRPr="00175523">
        <w:rPr>
          <w:rFonts w:ascii="Arial" w:hAnsi="Arial" w:cs="Arial"/>
          <w:color w:val="010000"/>
          <w:sz w:val="20"/>
        </w:rPr>
        <w:t xml:space="preserve">Supervisory Board in </w:t>
      </w:r>
      <w:r w:rsidRPr="00175523">
        <w:rPr>
          <w:rFonts w:ascii="Arial" w:hAnsi="Arial" w:cs="Arial"/>
          <w:color w:val="010000"/>
          <w:sz w:val="20"/>
        </w:rPr>
        <w:lastRenderedPageBreak/>
        <w:t>2024.</w:t>
      </w:r>
    </w:p>
    <w:tbl>
      <w:tblPr>
        <w:tblStyle w:val="a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098"/>
        <w:gridCol w:w="3919"/>
      </w:tblGrid>
      <w:tr w:rsidR="002D4F36" w:rsidRPr="00175523" w14:paraId="6B134A4E" w14:textId="77777777" w:rsidTr="00175523">
        <w:tc>
          <w:tcPr>
            <w:tcW w:w="2827" w:type="pct"/>
            <w:shd w:val="clear" w:color="auto" w:fill="auto"/>
            <w:vAlign w:val="center"/>
          </w:tcPr>
          <w:p w14:paraId="6F496576" w14:textId="77777777" w:rsidR="002D4F36" w:rsidRPr="00175523" w:rsidRDefault="00BA5748" w:rsidP="00175523">
            <w:pPr>
              <w:numPr>
                <w:ilvl w:val="0"/>
                <w:numId w:val="2"/>
              </w:numPr>
              <w:pBdr>
                <w:top w:val="nil"/>
                <w:left w:val="nil"/>
                <w:bottom w:val="nil"/>
                <w:right w:val="nil"/>
                <w:between w:val="nil"/>
              </w:pBdr>
              <w:tabs>
                <w:tab w:val="left" w:pos="142"/>
              </w:tabs>
              <w:spacing w:after="120" w:line="360" w:lineRule="auto"/>
              <w:rPr>
                <w:rFonts w:ascii="Arial" w:eastAsia="Arial" w:hAnsi="Arial" w:cs="Arial"/>
                <w:color w:val="010000"/>
                <w:sz w:val="20"/>
                <w:szCs w:val="20"/>
              </w:rPr>
            </w:pPr>
            <w:r w:rsidRPr="00175523">
              <w:rPr>
                <w:rFonts w:ascii="Arial" w:hAnsi="Arial" w:cs="Arial"/>
                <w:color w:val="010000"/>
                <w:sz w:val="20"/>
              </w:rPr>
              <w:t>Chair of the Board of Directors:</w:t>
            </w:r>
          </w:p>
        </w:tc>
        <w:tc>
          <w:tcPr>
            <w:tcW w:w="2173" w:type="pct"/>
            <w:shd w:val="clear" w:color="auto" w:fill="auto"/>
            <w:vAlign w:val="center"/>
          </w:tcPr>
          <w:p w14:paraId="6DC64A0A" w14:textId="77777777" w:rsidR="002D4F36" w:rsidRPr="00175523" w:rsidRDefault="00BA5748" w:rsidP="00175523">
            <w:pPr>
              <w:pBdr>
                <w:top w:val="nil"/>
                <w:left w:val="nil"/>
                <w:bottom w:val="nil"/>
                <w:right w:val="nil"/>
                <w:between w:val="nil"/>
              </w:pBdr>
              <w:tabs>
                <w:tab w:val="left" w:pos="142"/>
              </w:tabs>
              <w:spacing w:after="120" w:line="360" w:lineRule="auto"/>
              <w:rPr>
                <w:rFonts w:ascii="Arial" w:eastAsia="Arial" w:hAnsi="Arial" w:cs="Arial"/>
                <w:color w:val="010000"/>
                <w:sz w:val="20"/>
                <w:szCs w:val="20"/>
              </w:rPr>
            </w:pPr>
            <w:r w:rsidRPr="00175523">
              <w:rPr>
                <w:rFonts w:ascii="Arial" w:hAnsi="Arial" w:cs="Arial"/>
                <w:color w:val="010000"/>
                <w:sz w:val="20"/>
              </w:rPr>
              <w:t xml:space="preserve"> VND 12 million/person/month</w:t>
            </w:r>
          </w:p>
        </w:tc>
      </w:tr>
      <w:tr w:rsidR="002D4F36" w:rsidRPr="00175523" w14:paraId="200E3EE0" w14:textId="77777777" w:rsidTr="00175523">
        <w:tc>
          <w:tcPr>
            <w:tcW w:w="2827" w:type="pct"/>
            <w:shd w:val="clear" w:color="auto" w:fill="auto"/>
            <w:vAlign w:val="center"/>
          </w:tcPr>
          <w:p w14:paraId="5E168919" w14:textId="76FC929E" w:rsidR="002D4F36" w:rsidRPr="00175523" w:rsidRDefault="00BA5748" w:rsidP="00175523">
            <w:pPr>
              <w:numPr>
                <w:ilvl w:val="0"/>
                <w:numId w:val="2"/>
              </w:numPr>
              <w:pBdr>
                <w:top w:val="nil"/>
                <w:left w:val="nil"/>
                <w:bottom w:val="nil"/>
                <w:right w:val="nil"/>
                <w:between w:val="nil"/>
              </w:pBdr>
              <w:tabs>
                <w:tab w:val="left" w:pos="142"/>
              </w:tabs>
              <w:spacing w:after="120" w:line="360" w:lineRule="auto"/>
              <w:rPr>
                <w:rFonts w:ascii="Arial" w:eastAsia="Arial" w:hAnsi="Arial" w:cs="Arial"/>
                <w:color w:val="010000"/>
                <w:sz w:val="20"/>
                <w:szCs w:val="20"/>
              </w:rPr>
            </w:pPr>
            <w:r w:rsidRPr="00175523">
              <w:rPr>
                <w:rFonts w:ascii="Arial" w:hAnsi="Arial" w:cs="Arial"/>
                <w:color w:val="010000"/>
                <w:sz w:val="20"/>
              </w:rPr>
              <w:t xml:space="preserve">Member of the Board of Directors as </w:t>
            </w:r>
            <w:r w:rsidR="0046540B" w:rsidRPr="00175523">
              <w:rPr>
                <w:rFonts w:ascii="Arial" w:hAnsi="Arial" w:cs="Arial"/>
                <w:color w:val="010000"/>
                <w:sz w:val="20"/>
              </w:rPr>
              <w:t>the</w:t>
            </w:r>
            <w:r w:rsidRPr="00175523">
              <w:rPr>
                <w:rFonts w:ascii="Arial" w:hAnsi="Arial" w:cs="Arial"/>
                <w:color w:val="010000"/>
                <w:sz w:val="20"/>
              </w:rPr>
              <w:t xml:space="preserve"> Manager:</w:t>
            </w:r>
          </w:p>
        </w:tc>
        <w:tc>
          <w:tcPr>
            <w:tcW w:w="2173" w:type="pct"/>
            <w:shd w:val="clear" w:color="auto" w:fill="auto"/>
            <w:vAlign w:val="center"/>
          </w:tcPr>
          <w:p w14:paraId="21965A2D" w14:textId="77777777" w:rsidR="002D4F36" w:rsidRPr="00175523" w:rsidRDefault="00BA5748" w:rsidP="00175523">
            <w:pPr>
              <w:pBdr>
                <w:top w:val="nil"/>
                <w:left w:val="nil"/>
                <w:bottom w:val="nil"/>
                <w:right w:val="nil"/>
                <w:between w:val="nil"/>
              </w:pBdr>
              <w:tabs>
                <w:tab w:val="left" w:pos="142"/>
              </w:tabs>
              <w:spacing w:after="120" w:line="360" w:lineRule="auto"/>
              <w:rPr>
                <w:rFonts w:ascii="Arial" w:eastAsia="Arial" w:hAnsi="Arial" w:cs="Arial"/>
                <w:color w:val="010000"/>
                <w:sz w:val="20"/>
                <w:szCs w:val="20"/>
              </w:rPr>
            </w:pPr>
            <w:r w:rsidRPr="00175523">
              <w:rPr>
                <w:rFonts w:ascii="Arial" w:hAnsi="Arial" w:cs="Arial"/>
                <w:color w:val="010000"/>
                <w:sz w:val="20"/>
              </w:rPr>
              <w:t xml:space="preserve"> VND 10 million/person/month</w:t>
            </w:r>
          </w:p>
        </w:tc>
      </w:tr>
      <w:tr w:rsidR="002D4F36" w:rsidRPr="00175523" w14:paraId="13F6DFEC" w14:textId="77777777" w:rsidTr="00175523">
        <w:tc>
          <w:tcPr>
            <w:tcW w:w="2827" w:type="pct"/>
            <w:shd w:val="clear" w:color="auto" w:fill="auto"/>
            <w:vAlign w:val="center"/>
          </w:tcPr>
          <w:p w14:paraId="5D8ED8A3" w14:textId="77777777" w:rsidR="002D4F36" w:rsidRPr="00175523" w:rsidRDefault="00BA5748" w:rsidP="00175523">
            <w:pPr>
              <w:numPr>
                <w:ilvl w:val="0"/>
                <w:numId w:val="2"/>
              </w:numPr>
              <w:pBdr>
                <w:top w:val="nil"/>
                <w:left w:val="nil"/>
                <w:bottom w:val="nil"/>
                <w:right w:val="nil"/>
                <w:between w:val="nil"/>
              </w:pBdr>
              <w:tabs>
                <w:tab w:val="left" w:pos="142"/>
                <w:tab w:val="left" w:pos="2130"/>
              </w:tabs>
              <w:spacing w:after="120" w:line="360" w:lineRule="auto"/>
              <w:rPr>
                <w:rFonts w:ascii="Arial" w:eastAsia="Arial" w:hAnsi="Arial" w:cs="Arial"/>
                <w:color w:val="010000"/>
                <w:sz w:val="20"/>
                <w:szCs w:val="20"/>
              </w:rPr>
            </w:pPr>
            <w:r w:rsidRPr="00175523">
              <w:rPr>
                <w:rFonts w:ascii="Arial" w:hAnsi="Arial" w:cs="Arial"/>
                <w:color w:val="010000"/>
                <w:sz w:val="20"/>
              </w:rPr>
              <w:t>Other members of the Board of Directors:</w:t>
            </w:r>
          </w:p>
        </w:tc>
        <w:tc>
          <w:tcPr>
            <w:tcW w:w="2173" w:type="pct"/>
            <w:shd w:val="clear" w:color="auto" w:fill="auto"/>
            <w:vAlign w:val="center"/>
          </w:tcPr>
          <w:p w14:paraId="4C19C712" w14:textId="77777777" w:rsidR="002D4F36" w:rsidRPr="00175523" w:rsidRDefault="00BA5748" w:rsidP="00175523">
            <w:pPr>
              <w:pBdr>
                <w:top w:val="nil"/>
                <w:left w:val="nil"/>
                <w:bottom w:val="nil"/>
                <w:right w:val="nil"/>
                <w:between w:val="nil"/>
              </w:pBdr>
              <w:tabs>
                <w:tab w:val="left" w:pos="142"/>
              </w:tabs>
              <w:spacing w:after="120" w:line="360" w:lineRule="auto"/>
              <w:rPr>
                <w:rFonts w:ascii="Arial" w:eastAsia="Arial" w:hAnsi="Arial" w:cs="Arial"/>
                <w:color w:val="010000"/>
                <w:sz w:val="20"/>
                <w:szCs w:val="20"/>
              </w:rPr>
            </w:pPr>
            <w:r w:rsidRPr="00175523">
              <w:rPr>
                <w:rFonts w:ascii="Arial" w:hAnsi="Arial" w:cs="Arial"/>
                <w:color w:val="010000"/>
                <w:sz w:val="20"/>
              </w:rPr>
              <w:t xml:space="preserve"> VND 8 million/person/month</w:t>
            </w:r>
          </w:p>
        </w:tc>
      </w:tr>
      <w:tr w:rsidR="002D4F36" w:rsidRPr="00175523" w14:paraId="1B31EF9D" w14:textId="77777777" w:rsidTr="00175523">
        <w:tc>
          <w:tcPr>
            <w:tcW w:w="2827" w:type="pct"/>
            <w:shd w:val="clear" w:color="auto" w:fill="auto"/>
            <w:vAlign w:val="center"/>
          </w:tcPr>
          <w:p w14:paraId="00F9272C" w14:textId="77777777" w:rsidR="002D4F36" w:rsidRPr="00175523" w:rsidRDefault="00BA5748" w:rsidP="00175523">
            <w:pPr>
              <w:numPr>
                <w:ilvl w:val="0"/>
                <w:numId w:val="2"/>
              </w:numPr>
              <w:pBdr>
                <w:top w:val="nil"/>
                <w:left w:val="nil"/>
                <w:bottom w:val="nil"/>
                <w:right w:val="nil"/>
                <w:between w:val="nil"/>
              </w:pBdr>
              <w:tabs>
                <w:tab w:val="left" w:pos="142"/>
              </w:tabs>
              <w:spacing w:after="120" w:line="360" w:lineRule="auto"/>
              <w:rPr>
                <w:rFonts w:ascii="Arial" w:eastAsia="Arial" w:hAnsi="Arial" w:cs="Arial"/>
                <w:color w:val="010000"/>
                <w:sz w:val="20"/>
                <w:szCs w:val="20"/>
              </w:rPr>
            </w:pPr>
            <w:r w:rsidRPr="00175523">
              <w:rPr>
                <w:rFonts w:ascii="Arial" w:hAnsi="Arial" w:cs="Arial"/>
                <w:color w:val="010000"/>
                <w:sz w:val="20"/>
              </w:rPr>
              <w:t>Chief of the Supervisory Board:</w:t>
            </w:r>
          </w:p>
        </w:tc>
        <w:tc>
          <w:tcPr>
            <w:tcW w:w="2173" w:type="pct"/>
            <w:shd w:val="clear" w:color="auto" w:fill="auto"/>
            <w:vAlign w:val="center"/>
          </w:tcPr>
          <w:p w14:paraId="71606C91" w14:textId="77777777" w:rsidR="002D4F36" w:rsidRPr="00175523" w:rsidRDefault="00BA5748" w:rsidP="00175523">
            <w:pPr>
              <w:pBdr>
                <w:top w:val="nil"/>
                <w:left w:val="nil"/>
                <w:bottom w:val="nil"/>
                <w:right w:val="nil"/>
                <w:between w:val="nil"/>
              </w:pBdr>
              <w:tabs>
                <w:tab w:val="left" w:pos="142"/>
              </w:tabs>
              <w:spacing w:after="120" w:line="360" w:lineRule="auto"/>
              <w:rPr>
                <w:rFonts w:ascii="Arial" w:eastAsia="Arial" w:hAnsi="Arial" w:cs="Arial"/>
                <w:color w:val="010000"/>
                <w:sz w:val="20"/>
                <w:szCs w:val="20"/>
              </w:rPr>
            </w:pPr>
            <w:r w:rsidRPr="00175523">
              <w:rPr>
                <w:rFonts w:ascii="Arial" w:hAnsi="Arial" w:cs="Arial"/>
                <w:color w:val="010000"/>
                <w:sz w:val="20"/>
              </w:rPr>
              <w:t xml:space="preserve"> VND 8 million/person/month.</w:t>
            </w:r>
          </w:p>
        </w:tc>
      </w:tr>
      <w:tr w:rsidR="002D4F36" w:rsidRPr="00175523" w14:paraId="04EB257E" w14:textId="77777777" w:rsidTr="00175523">
        <w:tc>
          <w:tcPr>
            <w:tcW w:w="2827" w:type="pct"/>
            <w:shd w:val="clear" w:color="auto" w:fill="auto"/>
            <w:vAlign w:val="center"/>
          </w:tcPr>
          <w:p w14:paraId="65C21F7E" w14:textId="34F40056" w:rsidR="002D4F36" w:rsidRPr="00175523" w:rsidRDefault="00BA5748" w:rsidP="00175523">
            <w:pPr>
              <w:numPr>
                <w:ilvl w:val="0"/>
                <w:numId w:val="2"/>
              </w:numPr>
              <w:pBdr>
                <w:top w:val="nil"/>
                <w:left w:val="nil"/>
                <w:bottom w:val="nil"/>
                <w:right w:val="nil"/>
                <w:between w:val="nil"/>
              </w:pBdr>
              <w:tabs>
                <w:tab w:val="left" w:pos="142"/>
              </w:tabs>
              <w:spacing w:after="120" w:line="360" w:lineRule="auto"/>
              <w:rPr>
                <w:rFonts w:ascii="Arial" w:eastAsia="Arial" w:hAnsi="Arial" w:cs="Arial"/>
                <w:color w:val="010000"/>
                <w:sz w:val="20"/>
                <w:szCs w:val="20"/>
              </w:rPr>
            </w:pPr>
            <w:r w:rsidRPr="00175523">
              <w:rPr>
                <w:rFonts w:ascii="Arial" w:hAnsi="Arial" w:cs="Arial"/>
                <w:color w:val="010000"/>
                <w:sz w:val="20"/>
              </w:rPr>
              <w:t xml:space="preserve">Member of the Supervisory Board and </w:t>
            </w:r>
            <w:r w:rsidR="0046540B" w:rsidRPr="00175523">
              <w:rPr>
                <w:rFonts w:ascii="Arial" w:hAnsi="Arial" w:cs="Arial"/>
                <w:color w:val="010000"/>
                <w:sz w:val="20"/>
              </w:rPr>
              <w:t xml:space="preserve">the </w:t>
            </w:r>
            <w:r w:rsidRPr="00175523">
              <w:rPr>
                <w:rFonts w:ascii="Arial" w:hAnsi="Arial" w:cs="Arial"/>
                <w:color w:val="010000"/>
                <w:sz w:val="20"/>
              </w:rPr>
              <w:t>Secretariat of the Board of Directors:</w:t>
            </w:r>
          </w:p>
        </w:tc>
        <w:tc>
          <w:tcPr>
            <w:tcW w:w="2173" w:type="pct"/>
            <w:shd w:val="clear" w:color="auto" w:fill="auto"/>
            <w:vAlign w:val="center"/>
          </w:tcPr>
          <w:p w14:paraId="633F0D39" w14:textId="77777777" w:rsidR="002D4F36" w:rsidRPr="00175523" w:rsidRDefault="00BA5748" w:rsidP="00175523">
            <w:pPr>
              <w:pBdr>
                <w:top w:val="nil"/>
                <w:left w:val="nil"/>
                <w:bottom w:val="nil"/>
                <w:right w:val="nil"/>
                <w:between w:val="nil"/>
              </w:pBdr>
              <w:tabs>
                <w:tab w:val="left" w:pos="142"/>
              </w:tabs>
              <w:spacing w:after="120" w:line="360" w:lineRule="auto"/>
              <w:rPr>
                <w:rFonts w:ascii="Arial" w:eastAsia="Arial" w:hAnsi="Arial" w:cs="Arial"/>
                <w:color w:val="010000"/>
                <w:sz w:val="20"/>
                <w:szCs w:val="20"/>
              </w:rPr>
            </w:pPr>
            <w:r w:rsidRPr="00175523">
              <w:rPr>
                <w:rFonts w:ascii="Arial" w:hAnsi="Arial" w:cs="Arial"/>
                <w:color w:val="010000"/>
                <w:sz w:val="20"/>
              </w:rPr>
              <w:t xml:space="preserve"> VND 5 million/person/month.</w:t>
            </w:r>
          </w:p>
        </w:tc>
      </w:tr>
    </w:tbl>
    <w:p w14:paraId="4C0A07D2" w14:textId="1FBB45F7" w:rsidR="002D4F36" w:rsidRPr="00175523" w:rsidRDefault="00BA5748" w:rsidP="00287B71">
      <w:pPr>
        <w:pBdr>
          <w:top w:val="nil"/>
          <w:left w:val="nil"/>
          <w:bottom w:val="nil"/>
          <w:right w:val="nil"/>
          <w:between w:val="nil"/>
        </w:pBdr>
        <w:tabs>
          <w:tab w:val="left" w:pos="142"/>
        </w:tabs>
        <w:spacing w:after="120" w:line="360" w:lineRule="auto"/>
        <w:jc w:val="both"/>
        <w:rPr>
          <w:rFonts w:ascii="Arial" w:eastAsia="Arial" w:hAnsi="Arial" w:cs="Arial"/>
          <w:color w:val="010000"/>
          <w:sz w:val="20"/>
          <w:szCs w:val="20"/>
        </w:rPr>
      </w:pPr>
      <w:r w:rsidRPr="00175523">
        <w:rPr>
          <w:rFonts w:ascii="Arial" w:hAnsi="Arial" w:cs="Arial"/>
          <w:color w:val="010000"/>
          <w:sz w:val="20"/>
        </w:rPr>
        <w:t xml:space="preserve">Article 8: Approve the </w:t>
      </w:r>
      <w:r w:rsidR="0046540B" w:rsidRPr="00175523">
        <w:rPr>
          <w:rFonts w:ascii="Arial" w:hAnsi="Arial" w:cs="Arial"/>
          <w:color w:val="010000"/>
          <w:sz w:val="20"/>
        </w:rPr>
        <w:t xml:space="preserve">expected </w:t>
      </w:r>
      <w:r w:rsidRPr="00175523">
        <w:rPr>
          <w:rFonts w:ascii="Arial" w:hAnsi="Arial" w:cs="Arial"/>
          <w:color w:val="010000"/>
          <w:sz w:val="20"/>
        </w:rPr>
        <w:t xml:space="preserve">dividend payment </w:t>
      </w:r>
      <w:r w:rsidR="0046540B" w:rsidRPr="00175523">
        <w:rPr>
          <w:rFonts w:ascii="Arial" w:hAnsi="Arial" w:cs="Arial"/>
          <w:color w:val="010000"/>
          <w:sz w:val="20"/>
        </w:rPr>
        <w:t>rate</w:t>
      </w:r>
      <w:r w:rsidRPr="00175523">
        <w:rPr>
          <w:rFonts w:ascii="Arial" w:hAnsi="Arial" w:cs="Arial"/>
          <w:color w:val="010000"/>
          <w:sz w:val="20"/>
        </w:rPr>
        <w:t xml:space="preserve"> in 2024: 4%</w:t>
      </w:r>
    </w:p>
    <w:p w14:paraId="37DAF435" w14:textId="517C8052" w:rsidR="002D4F36" w:rsidRPr="00175523" w:rsidRDefault="00BA5748" w:rsidP="00287B71">
      <w:pPr>
        <w:pBdr>
          <w:top w:val="nil"/>
          <w:left w:val="nil"/>
          <w:bottom w:val="nil"/>
          <w:right w:val="nil"/>
          <w:between w:val="nil"/>
        </w:pBdr>
        <w:tabs>
          <w:tab w:val="left" w:pos="142"/>
        </w:tabs>
        <w:spacing w:after="120" w:line="360" w:lineRule="auto"/>
        <w:jc w:val="both"/>
        <w:rPr>
          <w:rFonts w:ascii="Arial" w:eastAsia="Arial" w:hAnsi="Arial" w:cs="Arial"/>
          <w:color w:val="010000"/>
          <w:sz w:val="20"/>
          <w:szCs w:val="20"/>
        </w:rPr>
      </w:pPr>
      <w:r w:rsidRPr="00175523">
        <w:rPr>
          <w:rFonts w:ascii="Arial" w:hAnsi="Arial" w:cs="Arial"/>
          <w:color w:val="010000"/>
          <w:sz w:val="20"/>
        </w:rPr>
        <w:t xml:space="preserve">Article 9: Expected </w:t>
      </w:r>
      <w:r w:rsidR="0046540B" w:rsidRPr="00175523">
        <w:rPr>
          <w:rFonts w:ascii="Arial" w:hAnsi="Arial" w:cs="Arial"/>
          <w:color w:val="010000"/>
          <w:sz w:val="20"/>
        </w:rPr>
        <w:t xml:space="preserve">bonus for the </w:t>
      </w:r>
      <w:r w:rsidRPr="00175523">
        <w:rPr>
          <w:rFonts w:ascii="Arial" w:hAnsi="Arial" w:cs="Arial"/>
          <w:color w:val="010000"/>
          <w:sz w:val="20"/>
        </w:rPr>
        <w:t>Executive Board:</w:t>
      </w:r>
    </w:p>
    <w:p w14:paraId="65D764D3" w14:textId="6DD65CCE" w:rsidR="002D4F36" w:rsidRPr="00175523" w:rsidRDefault="0046540B" w:rsidP="00287B71">
      <w:pPr>
        <w:numPr>
          <w:ilvl w:val="0"/>
          <w:numId w:val="2"/>
        </w:numPr>
        <w:pBdr>
          <w:top w:val="nil"/>
          <w:left w:val="nil"/>
          <w:bottom w:val="nil"/>
          <w:right w:val="nil"/>
          <w:between w:val="nil"/>
        </w:pBdr>
        <w:tabs>
          <w:tab w:val="left" w:pos="142"/>
        </w:tabs>
        <w:spacing w:after="120" w:line="360" w:lineRule="auto"/>
        <w:jc w:val="both"/>
        <w:rPr>
          <w:rFonts w:ascii="Arial" w:eastAsia="Arial" w:hAnsi="Arial" w:cs="Arial"/>
          <w:color w:val="010000"/>
          <w:sz w:val="20"/>
          <w:szCs w:val="20"/>
        </w:rPr>
      </w:pPr>
      <w:r w:rsidRPr="00175523">
        <w:rPr>
          <w:rFonts w:ascii="Arial" w:hAnsi="Arial" w:cs="Arial"/>
          <w:color w:val="010000"/>
          <w:sz w:val="20"/>
        </w:rPr>
        <w:t>If</w:t>
      </w:r>
      <w:r w:rsidR="00BA5748" w:rsidRPr="00175523">
        <w:rPr>
          <w:rFonts w:ascii="Arial" w:hAnsi="Arial" w:cs="Arial"/>
          <w:color w:val="010000"/>
          <w:sz w:val="20"/>
        </w:rPr>
        <w:t xml:space="preserve"> profit</w:t>
      </w:r>
      <w:r w:rsidRPr="00175523">
        <w:rPr>
          <w:rFonts w:ascii="Arial" w:hAnsi="Arial" w:cs="Arial"/>
          <w:color w:val="010000"/>
          <w:sz w:val="20"/>
        </w:rPr>
        <w:t xml:space="preserve"> before tax</w:t>
      </w:r>
      <w:r w:rsidR="00BA5748" w:rsidRPr="00175523">
        <w:rPr>
          <w:rFonts w:ascii="Arial" w:hAnsi="Arial" w:cs="Arial"/>
          <w:color w:val="010000"/>
          <w:sz w:val="20"/>
        </w:rPr>
        <w:t xml:space="preserve"> in 2024 exceeds VND 30 billion, the </w:t>
      </w:r>
      <w:r w:rsidRPr="00175523">
        <w:rPr>
          <w:rFonts w:ascii="Arial" w:hAnsi="Arial" w:cs="Arial"/>
          <w:color w:val="010000"/>
          <w:sz w:val="20"/>
        </w:rPr>
        <w:t xml:space="preserve">Executive </w:t>
      </w:r>
      <w:r w:rsidR="00BA5748" w:rsidRPr="00175523">
        <w:rPr>
          <w:rFonts w:ascii="Arial" w:hAnsi="Arial" w:cs="Arial"/>
          <w:color w:val="010000"/>
          <w:sz w:val="20"/>
        </w:rPr>
        <w:t>Board will be rewarded with 50% of the excess profit after deducting corporate income tax.</w:t>
      </w:r>
    </w:p>
    <w:p w14:paraId="1343EF1C" w14:textId="77777777" w:rsidR="002D4F36" w:rsidRPr="00175523" w:rsidRDefault="00BA5748" w:rsidP="00287B71">
      <w:pPr>
        <w:pBdr>
          <w:top w:val="nil"/>
          <w:left w:val="nil"/>
          <w:bottom w:val="nil"/>
          <w:right w:val="nil"/>
          <w:between w:val="nil"/>
        </w:pBdr>
        <w:tabs>
          <w:tab w:val="left" w:pos="142"/>
        </w:tabs>
        <w:spacing w:after="120" w:line="360" w:lineRule="auto"/>
        <w:jc w:val="both"/>
        <w:rPr>
          <w:rFonts w:ascii="Arial" w:eastAsia="Arial" w:hAnsi="Arial" w:cs="Arial"/>
          <w:color w:val="010000"/>
          <w:sz w:val="20"/>
          <w:szCs w:val="20"/>
        </w:rPr>
      </w:pPr>
      <w:r w:rsidRPr="00175523">
        <w:rPr>
          <w:rFonts w:ascii="Arial" w:hAnsi="Arial" w:cs="Arial"/>
          <w:color w:val="010000"/>
          <w:sz w:val="20"/>
        </w:rPr>
        <w:t>Article 10: Approve the plan for using development and investment funds.</w:t>
      </w:r>
    </w:p>
    <w:p w14:paraId="3038D3B3" w14:textId="77777777" w:rsidR="002D4F36" w:rsidRPr="00175523" w:rsidRDefault="00BA5748" w:rsidP="00287B71">
      <w:pPr>
        <w:numPr>
          <w:ilvl w:val="0"/>
          <w:numId w:val="2"/>
        </w:numPr>
        <w:pBdr>
          <w:top w:val="nil"/>
          <w:left w:val="nil"/>
          <w:bottom w:val="nil"/>
          <w:right w:val="nil"/>
          <w:between w:val="nil"/>
        </w:pBdr>
        <w:tabs>
          <w:tab w:val="left" w:pos="142"/>
        </w:tabs>
        <w:spacing w:after="120" w:line="360" w:lineRule="auto"/>
        <w:jc w:val="both"/>
        <w:rPr>
          <w:rFonts w:ascii="Arial" w:eastAsia="Arial" w:hAnsi="Arial" w:cs="Arial"/>
          <w:color w:val="010000"/>
          <w:sz w:val="20"/>
          <w:szCs w:val="20"/>
        </w:rPr>
      </w:pPr>
      <w:r w:rsidRPr="00175523">
        <w:rPr>
          <w:rFonts w:ascii="Arial" w:hAnsi="Arial" w:cs="Arial"/>
          <w:color w:val="010000"/>
          <w:sz w:val="20"/>
        </w:rPr>
        <w:t xml:space="preserve">Approve the policy of using the Company's development and investment fund to supplement capital for investment items according to the Company's development investment plan approved by the Corporation according to the Regulations on Representatives of </w:t>
      </w:r>
      <w:proofErr w:type="spellStart"/>
      <w:r w:rsidRPr="00175523">
        <w:rPr>
          <w:rFonts w:ascii="Arial" w:hAnsi="Arial" w:cs="Arial"/>
          <w:color w:val="010000"/>
          <w:sz w:val="20"/>
        </w:rPr>
        <w:t>Viglacera</w:t>
      </w:r>
      <w:proofErr w:type="spellEnd"/>
      <w:r w:rsidRPr="00175523">
        <w:rPr>
          <w:rFonts w:ascii="Arial" w:hAnsi="Arial" w:cs="Arial"/>
          <w:color w:val="010000"/>
          <w:sz w:val="20"/>
        </w:rPr>
        <w:t xml:space="preserve"> Corporation - JSC in other enterprises and Regulations on Management of investment activities of </w:t>
      </w:r>
      <w:proofErr w:type="spellStart"/>
      <w:r w:rsidRPr="00175523">
        <w:rPr>
          <w:rFonts w:ascii="Arial" w:hAnsi="Arial" w:cs="Arial"/>
          <w:color w:val="010000"/>
          <w:sz w:val="20"/>
        </w:rPr>
        <w:t>Viglacera</w:t>
      </w:r>
      <w:proofErr w:type="spellEnd"/>
      <w:r w:rsidRPr="00175523">
        <w:rPr>
          <w:rFonts w:ascii="Arial" w:hAnsi="Arial" w:cs="Arial"/>
          <w:color w:val="010000"/>
          <w:sz w:val="20"/>
        </w:rPr>
        <w:t xml:space="preserve"> Corporation - JSC.</w:t>
      </w:r>
    </w:p>
    <w:p w14:paraId="0F1E3B4B" w14:textId="6F868EE9" w:rsidR="002D4F36" w:rsidRPr="00175523" w:rsidRDefault="00BA5748" w:rsidP="00287B71">
      <w:pPr>
        <w:numPr>
          <w:ilvl w:val="0"/>
          <w:numId w:val="2"/>
        </w:numPr>
        <w:pBdr>
          <w:top w:val="nil"/>
          <w:left w:val="nil"/>
          <w:bottom w:val="nil"/>
          <w:right w:val="nil"/>
          <w:between w:val="nil"/>
        </w:pBdr>
        <w:tabs>
          <w:tab w:val="left" w:pos="142"/>
        </w:tabs>
        <w:spacing w:after="120" w:line="360" w:lineRule="auto"/>
        <w:jc w:val="both"/>
        <w:rPr>
          <w:rFonts w:ascii="Arial" w:eastAsia="Arial" w:hAnsi="Arial" w:cs="Arial"/>
          <w:color w:val="010000"/>
          <w:sz w:val="20"/>
          <w:szCs w:val="20"/>
        </w:rPr>
      </w:pPr>
      <w:r w:rsidRPr="00175523">
        <w:rPr>
          <w:rFonts w:ascii="Arial" w:hAnsi="Arial" w:cs="Arial"/>
          <w:color w:val="010000"/>
          <w:sz w:val="20"/>
        </w:rPr>
        <w:t xml:space="preserve">The representative of the Corporation's capital at joint stock companies is responsible for </w:t>
      </w:r>
      <w:r w:rsidR="00995305" w:rsidRPr="00175523">
        <w:rPr>
          <w:rFonts w:ascii="Arial" w:hAnsi="Arial" w:cs="Arial"/>
          <w:color w:val="010000"/>
          <w:sz w:val="20"/>
        </w:rPr>
        <w:t>making</w:t>
      </w:r>
      <w:r w:rsidRPr="00175523">
        <w:rPr>
          <w:rFonts w:ascii="Arial" w:hAnsi="Arial" w:cs="Arial"/>
          <w:color w:val="010000"/>
          <w:sz w:val="20"/>
        </w:rPr>
        <w:t xml:space="preserve"> investment and development plans in accordance with the Company's development orientation and effectively using the development and investment fund.</w:t>
      </w:r>
    </w:p>
    <w:p w14:paraId="15D567BE" w14:textId="76257A33" w:rsidR="002D4F36" w:rsidRPr="00175523" w:rsidRDefault="00BA5748" w:rsidP="00287B71">
      <w:pPr>
        <w:pBdr>
          <w:top w:val="nil"/>
          <w:left w:val="nil"/>
          <w:bottom w:val="nil"/>
          <w:right w:val="nil"/>
          <w:between w:val="nil"/>
        </w:pBdr>
        <w:tabs>
          <w:tab w:val="left" w:pos="142"/>
        </w:tabs>
        <w:spacing w:after="120" w:line="360" w:lineRule="auto"/>
        <w:jc w:val="both"/>
        <w:rPr>
          <w:rFonts w:ascii="Arial" w:eastAsia="Arial" w:hAnsi="Arial" w:cs="Arial"/>
          <w:color w:val="010000"/>
          <w:sz w:val="20"/>
          <w:szCs w:val="20"/>
        </w:rPr>
      </w:pPr>
      <w:r w:rsidRPr="00175523">
        <w:rPr>
          <w:rFonts w:ascii="Arial" w:hAnsi="Arial" w:cs="Arial"/>
          <w:color w:val="010000"/>
          <w:sz w:val="20"/>
        </w:rPr>
        <w:t>Article 11:</w:t>
      </w:r>
      <w:r w:rsidR="00995305" w:rsidRPr="00175523">
        <w:rPr>
          <w:rFonts w:ascii="Arial" w:hAnsi="Arial" w:cs="Arial"/>
          <w:color w:val="010000"/>
          <w:sz w:val="20"/>
        </w:rPr>
        <w:t xml:space="preserve"> Approve authorizing</w:t>
      </w:r>
      <w:r w:rsidRPr="00175523">
        <w:rPr>
          <w:rFonts w:ascii="Arial" w:hAnsi="Arial" w:cs="Arial"/>
          <w:color w:val="010000"/>
          <w:sz w:val="20"/>
        </w:rPr>
        <w:t xml:space="preserve"> the Board of Directors to approve the settlement of the project named "buy and renovate Bach Ma Ceramic Tile Factory - </w:t>
      </w:r>
      <w:proofErr w:type="spellStart"/>
      <w:r w:rsidR="00995305" w:rsidRPr="00175523">
        <w:rPr>
          <w:rFonts w:ascii="Arial" w:hAnsi="Arial" w:cs="Arial"/>
          <w:color w:val="010000"/>
          <w:sz w:val="20"/>
        </w:rPr>
        <w:t>Viglacera</w:t>
      </w:r>
      <w:proofErr w:type="spellEnd"/>
      <w:r w:rsidR="00995305" w:rsidRPr="00175523">
        <w:rPr>
          <w:rFonts w:ascii="Arial" w:hAnsi="Arial" w:cs="Arial"/>
          <w:color w:val="010000"/>
          <w:sz w:val="20"/>
        </w:rPr>
        <w:t xml:space="preserve"> </w:t>
      </w:r>
      <w:proofErr w:type="spellStart"/>
      <w:r w:rsidR="00995305" w:rsidRPr="00175523">
        <w:rPr>
          <w:rFonts w:ascii="Arial" w:hAnsi="Arial" w:cs="Arial"/>
          <w:color w:val="010000"/>
          <w:sz w:val="20"/>
        </w:rPr>
        <w:t>Eurotile</w:t>
      </w:r>
      <w:proofErr w:type="spellEnd"/>
      <w:r w:rsidR="00995305" w:rsidRPr="00175523">
        <w:rPr>
          <w:rFonts w:ascii="Arial" w:hAnsi="Arial" w:cs="Arial"/>
          <w:color w:val="010000"/>
          <w:sz w:val="20"/>
        </w:rPr>
        <w:t xml:space="preserve"> Tile Factory with</w:t>
      </w:r>
      <w:r w:rsidRPr="00175523">
        <w:rPr>
          <w:rFonts w:ascii="Arial" w:hAnsi="Arial" w:cs="Arial"/>
          <w:color w:val="010000"/>
          <w:sz w:val="20"/>
        </w:rPr>
        <w:t xml:space="preserve"> capacity</w:t>
      </w:r>
      <w:r w:rsidR="00995305" w:rsidRPr="00175523">
        <w:rPr>
          <w:rFonts w:ascii="Arial" w:hAnsi="Arial" w:cs="Arial"/>
          <w:color w:val="010000"/>
          <w:sz w:val="20"/>
        </w:rPr>
        <w:t xml:space="preserve"> of VND</w:t>
      </w:r>
      <w:r w:rsidRPr="00175523">
        <w:rPr>
          <w:rFonts w:ascii="Arial" w:hAnsi="Arial" w:cs="Arial"/>
          <w:color w:val="010000"/>
          <w:sz w:val="20"/>
        </w:rPr>
        <w:t xml:space="preserve"> 9.0 million m2/year".</w:t>
      </w:r>
    </w:p>
    <w:p w14:paraId="36F9A00B" w14:textId="22968121" w:rsidR="002D4F36" w:rsidRPr="00175523" w:rsidRDefault="00BA5748" w:rsidP="00287B71">
      <w:pPr>
        <w:pBdr>
          <w:top w:val="nil"/>
          <w:left w:val="nil"/>
          <w:bottom w:val="nil"/>
          <w:right w:val="nil"/>
          <w:between w:val="nil"/>
        </w:pBdr>
        <w:tabs>
          <w:tab w:val="left" w:pos="142"/>
        </w:tabs>
        <w:spacing w:after="120" w:line="360" w:lineRule="auto"/>
        <w:jc w:val="both"/>
        <w:rPr>
          <w:rFonts w:ascii="Arial" w:eastAsia="Arial" w:hAnsi="Arial" w:cs="Arial"/>
          <w:color w:val="010000"/>
          <w:sz w:val="20"/>
          <w:szCs w:val="20"/>
        </w:rPr>
      </w:pPr>
      <w:r w:rsidRPr="00175523">
        <w:rPr>
          <w:rFonts w:ascii="Arial" w:hAnsi="Arial" w:cs="Arial"/>
          <w:color w:val="010000"/>
          <w:sz w:val="20"/>
        </w:rPr>
        <w:t>Article 12: Appro</w:t>
      </w:r>
      <w:r w:rsidR="00995305" w:rsidRPr="00175523">
        <w:rPr>
          <w:rFonts w:ascii="Arial" w:hAnsi="Arial" w:cs="Arial"/>
          <w:color w:val="010000"/>
          <w:sz w:val="20"/>
        </w:rPr>
        <w:t>ve the signing of contracts/</w:t>
      </w:r>
      <w:r w:rsidRPr="00175523">
        <w:rPr>
          <w:rFonts w:ascii="Arial" w:hAnsi="Arial" w:cs="Arial"/>
          <w:color w:val="010000"/>
          <w:sz w:val="20"/>
        </w:rPr>
        <w:t>conduct</w:t>
      </w:r>
      <w:r w:rsidR="00995305" w:rsidRPr="00175523">
        <w:rPr>
          <w:rFonts w:ascii="Arial" w:hAnsi="Arial" w:cs="Arial"/>
          <w:color w:val="010000"/>
          <w:sz w:val="20"/>
        </w:rPr>
        <w:t>ing</w:t>
      </w:r>
      <w:r w:rsidRPr="00175523">
        <w:rPr>
          <w:rFonts w:ascii="Arial" w:hAnsi="Arial" w:cs="Arial"/>
          <w:color w:val="010000"/>
          <w:sz w:val="20"/>
        </w:rPr>
        <w:t xml:space="preserve"> of transactions between the Company and affiliated persons in 2024 according to the provisions of the Company's Charter and the law: Authorize the Board of Directors and Board of </w:t>
      </w:r>
      <w:r w:rsidR="00995305" w:rsidRPr="00175523">
        <w:rPr>
          <w:rFonts w:ascii="Arial" w:hAnsi="Arial" w:cs="Arial"/>
          <w:color w:val="010000"/>
          <w:sz w:val="20"/>
        </w:rPr>
        <w:t>Managers</w:t>
      </w:r>
      <w:r w:rsidRPr="00175523">
        <w:rPr>
          <w:rFonts w:ascii="Arial" w:hAnsi="Arial" w:cs="Arial"/>
          <w:color w:val="010000"/>
          <w:sz w:val="20"/>
        </w:rPr>
        <w:t xml:space="preserve"> to implement in accordance with the actual situation, complying with the provisions of the Companies’ Charter and the law.</w:t>
      </w:r>
    </w:p>
    <w:p w14:paraId="217D8C6E" w14:textId="452BAEA0" w:rsidR="002D4F36" w:rsidRPr="00175523" w:rsidRDefault="00BA5748" w:rsidP="00287B71">
      <w:pPr>
        <w:pBdr>
          <w:top w:val="nil"/>
          <w:left w:val="nil"/>
          <w:bottom w:val="nil"/>
          <w:right w:val="nil"/>
          <w:between w:val="nil"/>
        </w:pBdr>
        <w:tabs>
          <w:tab w:val="left" w:pos="142"/>
        </w:tabs>
        <w:spacing w:after="120" w:line="360" w:lineRule="auto"/>
        <w:jc w:val="both"/>
        <w:rPr>
          <w:rFonts w:ascii="Arial" w:eastAsia="Arial" w:hAnsi="Arial" w:cs="Arial"/>
          <w:color w:val="010000"/>
          <w:sz w:val="20"/>
          <w:szCs w:val="20"/>
        </w:rPr>
      </w:pPr>
      <w:r w:rsidRPr="00175523">
        <w:rPr>
          <w:rFonts w:ascii="Arial" w:hAnsi="Arial" w:cs="Arial"/>
          <w:color w:val="010000"/>
          <w:sz w:val="20"/>
        </w:rPr>
        <w:t xml:space="preserve">Article 13: Approve </w:t>
      </w:r>
      <w:r w:rsidR="00995305" w:rsidRPr="00175523">
        <w:rPr>
          <w:rFonts w:ascii="Arial" w:hAnsi="Arial" w:cs="Arial"/>
          <w:color w:val="010000"/>
          <w:sz w:val="20"/>
        </w:rPr>
        <w:t>authorizing</w:t>
      </w:r>
      <w:r w:rsidRPr="00175523">
        <w:rPr>
          <w:rFonts w:ascii="Arial" w:hAnsi="Arial" w:cs="Arial"/>
          <w:color w:val="010000"/>
          <w:sz w:val="20"/>
        </w:rPr>
        <w:t xml:space="preserve"> the Company's Board of Directors to select audit companies according to the list of audit companies approved by the State Securities Commission based on the </w:t>
      </w:r>
      <w:r w:rsidR="00995305" w:rsidRPr="00175523">
        <w:rPr>
          <w:rFonts w:ascii="Arial" w:hAnsi="Arial" w:cs="Arial"/>
          <w:color w:val="010000"/>
          <w:sz w:val="20"/>
        </w:rPr>
        <w:t>p</w:t>
      </w:r>
      <w:r w:rsidRPr="00175523">
        <w:rPr>
          <w:rFonts w:ascii="Arial" w:hAnsi="Arial" w:cs="Arial"/>
          <w:color w:val="010000"/>
          <w:sz w:val="20"/>
        </w:rPr>
        <w:t>roposal of the Company's Supervisory Board.</w:t>
      </w:r>
    </w:p>
    <w:p w14:paraId="688127E8" w14:textId="040A1C6E" w:rsidR="002D4F36" w:rsidRPr="00175523" w:rsidRDefault="00BA5748" w:rsidP="00287B71">
      <w:pPr>
        <w:pBdr>
          <w:top w:val="nil"/>
          <w:left w:val="nil"/>
          <w:bottom w:val="nil"/>
          <w:right w:val="nil"/>
          <w:between w:val="nil"/>
        </w:pBdr>
        <w:tabs>
          <w:tab w:val="left" w:pos="142"/>
        </w:tabs>
        <w:spacing w:after="120" w:line="360" w:lineRule="auto"/>
        <w:jc w:val="both"/>
        <w:rPr>
          <w:rFonts w:ascii="Arial" w:eastAsia="Arial" w:hAnsi="Arial" w:cs="Arial"/>
          <w:color w:val="010000"/>
          <w:sz w:val="20"/>
          <w:szCs w:val="20"/>
        </w:rPr>
      </w:pPr>
      <w:r w:rsidRPr="00175523">
        <w:rPr>
          <w:rFonts w:ascii="Arial" w:hAnsi="Arial" w:cs="Arial"/>
          <w:color w:val="010000"/>
          <w:sz w:val="20"/>
        </w:rPr>
        <w:t xml:space="preserve">Article 14: Approve the </w:t>
      </w:r>
      <w:r w:rsidR="00995305" w:rsidRPr="00175523">
        <w:rPr>
          <w:rFonts w:ascii="Arial" w:hAnsi="Arial" w:cs="Arial"/>
          <w:color w:val="010000"/>
          <w:sz w:val="20"/>
        </w:rPr>
        <w:t>General Meeting of Shareholders authorizes</w:t>
      </w:r>
      <w:r w:rsidRPr="00175523">
        <w:rPr>
          <w:rFonts w:ascii="Arial" w:hAnsi="Arial" w:cs="Arial"/>
          <w:color w:val="010000"/>
          <w:sz w:val="20"/>
        </w:rPr>
        <w:t>:</w:t>
      </w:r>
    </w:p>
    <w:p w14:paraId="3DE4E837" w14:textId="39894F68" w:rsidR="002D4F36" w:rsidRPr="00175523" w:rsidRDefault="00BA5748" w:rsidP="00287B71">
      <w:pPr>
        <w:pBdr>
          <w:top w:val="nil"/>
          <w:left w:val="nil"/>
          <w:bottom w:val="nil"/>
          <w:right w:val="nil"/>
          <w:between w:val="nil"/>
        </w:pBdr>
        <w:tabs>
          <w:tab w:val="left" w:pos="142"/>
        </w:tabs>
        <w:spacing w:after="120" w:line="360" w:lineRule="auto"/>
        <w:jc w:val="both"/>
        <w:rPr>
          <w:rFonts w:ascii="Arial" w:eastAsia="Arial" w:hAnsi="Arial" w:cs="Arial"/>
          <w:color w:val="010000"/>
          <w:sz w:val="20"/>
          <w:szCs w:val="20"/>
        </w:rPr>
      </w:pPr>
      <w:r w:rsidRPr="00175523">
        <w:rPr>
          <w:rFonts w:ascii="Arial" w:hAnsi="Arial" w:cs="Arial"/>
          <w:color w:val="010000"/>
          <w:sz w:val="20"/>
        </w:rPr>
        <w:t xml:space="preserve">Authorize the Board of Directors, </w:t>
      </w:r>
      <w:r w:rsidR="00995305" w:rsidRPr="00175523">
        <w:rPr>
          <w:rFonts w:ascii="Arial" w:hAnsi="Arial" w:cs="Arial"/>
          <w:color w:val="010000"/>
          <w:sz w:val="20"/>
        </w:rPr>
        <w:t xml:space="preserve">and </w:t>
      </w:r>
      <w:r w:rsidRPr="00175523">
        <w:rPr>
          <w:rFonts w:ascii="Arial" w:hAnsi="Arial" w:cs="Arial"/>
          <w:color w:val="010000"/>
          <w:sz w:val="20"/>
        </w:rPr>
        <w:t xml:space="preserve">the Board of </w:t>
      </w:r>
      <w:r w:rsidR="00995305" w:rsidRPr="00175523">
        <w:rPr>
          <w:rFonts w:ascii="Arial" w:hAnsi="Arial" w:cs="Arial"/>
          <w:color w:val="010000"/>
          <w:sz w:val="20"/>
        </w:rPr>
        <w:t>Managers</w:t>
      </w:r>
      <w:r w:rsidRPr="00175523">
        <w:rPr>
          <w:rFonts w:ascii="Arial" w:hAnsi="Arial" w:cs="Arial"/>
          <w:color w:val="010000"/>
          <w:sz w:val="20"/>
        </w:rPr>
        <w:t xml:space="preserve"> to approve the capital loan plan, </w:t>
      </w:r>
      <w:r w:rsidR="00995305" w:rsidRPr="00175523">
        <w:rPr>
          <w:rFonts w:ascii="Arial" w:hAnsi="Arial" w:cs="Arial"/>
          <w:color w:val="010000"/>
          <w:sz w:val="20"/>
        </w:rPr>
        <w:t xml:space="preserve">and </w:t>
      </w:r>
      <w:r w:rsidRPr="00175523">
        <w:rPr>
          <w:rFonts w:ascii="Arial" w:hAnsi="Arial" w:cs="Arial"/>
          <w:color w:val="010000"/>
          <w:sz w:val="20"/>
        </w:rPr>
        <w:t xml:space="preserve">asset </w:t>
      </w:r>
      <w:r w:rsidR="00995305" w:rsidRPr="00175523">
        <w:rPr>
          <w:rFonts w:ascii="Arial" w:hAnsi="Arial" w:cs="Arial"/>
          <w:color w:val="010000"/>
          <w:sz w:val="20"/>
        </w:rPr>
        <w:t xml:space="preserve">mortgage for the productions, </w:t>
      </w:r>
      <w:r w:rsidRPr="00175523">
        <w:rPr>
          <w:rFonts w:ascii="Arial" w:hAnsi="Arial" w:cs="Arial"/>
          <w:color w:val="010000"/>
          <w:sz w:val="20"/>
        </w:rPr>
        <w:t>business</w:t>
      </w:r>
      <w:r w:rsidR="00995305" w:rsidRPr="00175523">
        <w:rPr>
          <w:rFonts w:ascii="Arial" w:hAnsi="Arial" w:cs="Arial"/>
          <w:color w:val="010000"/>
          <w:sz w:val="20"/>
        </w:rPr>
        <w:t xml:space="preserve"> and investment</w:t>
      </w:r>
      <w:r w:rsidRPr="00175523">
        <w:rPr>
          <w:rFonts w:ascii="Arial" w:hAnsi="Arial" w:cs="Arial"/>
          <w:color w:val="010000"/>
          <w:sz w:val="20"/>
        </w:rPr>
        <w:t xml:space="preserve"> of the Company.</w:t>
      </w:r>
    </w:p>
    <w:p w14:paraId="11AD6644" w14:textId="0042F748" w:rsidR="002D4F36" w:rsidRPr="00175523" w:rsidRDefault="00BA5748" w:rsidP="00287B71">
      <w:pPr>
        <w:pBdr>
          <w:top w:val="nil"/>
          <w:left w:val="nil"/>
          <w:bottom w:val="nil"/>
          <w:right w:val="nil"/>
          <w:between w:val="nil"/>
        </w:pBdr>
        <w:tabs>
          <w:tab w:val="left" w:pos="142"/>
        </w:tabs>
        <w:spacing w:after="120" w:line="360" w:lineRule="auto"/>
        <w:jc w:val="both"/>
        <w:rPr>
          <w:rFonts w:ascii="Arial" w:eastAsia="Arial" w:hAnsi="Arial" w:cs="Arial"/>
          <w:color w:val="010000"/>
          <w:sz w:val="20"/>
          <w:szCs w:val="20"/>
        </w:rPr>
      </w:pPr>
      <w:r w:rsidRPr="00175523">
        <w:rPr>
          <w:rFonts w:ascii="Arial" w:hAnsi="Arial" w:cs="Arial"/>
          <w:color w:val="010000"/>
          <w:sz w:val="20"/>
        </w:rPr>
        <w:t xml:space="preserve">Authorize the Board of Directors and the Board of </w:t>
      </w:r>
      <w:r w:rsidR="00995305" w:rsidRPr="00175523">
        <w:rPr>
          <w:rFonts w:ascii="Arial" w:hAnsi="Arial" w:cs="Arial"/>
          <w:color w:val="010000"/>
          <w:sz w:val="20"/>
        </w:rPr>
        <w:t>Managers</w:t>
      </w:r>
      <w:r w:rsidRPr="00175523">
        <w:rPr>
          <w:rFonts w:ascii="Arial" w:hAnsi="Arial" w:cs="Arial"/>
          <w:color w:val="010000"/>
          <w:sz w:val="20"/>
        </w:rPr>
        <w:t xml:space="preserve"> to settle the investment capital.</w:t>
      </w:r>
    </w:p>
    <w:p w14:paraId="443901D7" w14:textId="77777777" w:rsidR="002D4F36" w:rsidRPr="00175523" w:rsidRDefault="00BA5748" w:rsidP="00287B71">
      <w:pPr>
        <w:pBdr>
          <w:top w:val="nil"/>
          <w:left w:val="nil"/>
          <w:bottom w:val="nil"/>
          <w:right w:val="nil"/>
          <w:between w:val="nil"/>
        </w:pBdr>
        <w:tabs>
          <w:tab w:val="left" w:pos="142"/>
        </w:tabs>
        <w:spacing w:after="120" w:line="360" w:lineRule="auto"/>
        <w:jc w:val="both"/>
        <w:rPr>
          <w:rFonts w:ascii="Arial" w:eastAsia="Arial" w:hAnsi="Arial" w:cs="Arial"/>
          <w:color w:val="010000"/>
          <w:sz w:val="20"/>
          <w:szCs w:val="20"/>
        </w:rPr>
      </w:pPr>
      <w:r w:rsidRPr="00175523">
        <w:rPr>
          <w:rFonts w:ascii="Arial" w:hAnsi="Arial" w:cs="Arial"/>
          <w:color w:val="010000"/>
          <w:sz w:val="20"/>
        </w:rPr>
        <w:t xml:space="preserve">Article 15: Approve the information disclosure: Information on the production and business activities of </w:t>
      </w:r>
      <w:r w:rsidRPr="00175523">
        <w:rPr>
          <w:rFonts w:ascii="Arial" w:hAnsi="Arial" w:cs="Arial"/>
          <w:color w:val="010000"/>
          <w:sz w:val="20"/>
        </w:rPr>
        <w:lastRenderedPageBreak/>
        <w:t>the Company is posted on: viglaceratienson.com.</w:t>
      </w:r>
    </w:p>
    <w:p w14:paraId="5A08655A" w14:textId="1F6E99B1" w:rsidR="002D4F36" w:rsidRPr="00175523" w:rsidRDefault="00BA5748" w:rsidP="00287B71">
      <w:pPr>
        <w:pBdr>
          <w:top w:val="nil"/>
          <w:left w:val="nil"/>
          <w:bottom w:val="nil"/>
          <w:right w:val="nil"/>
          <w:between w:val="nil"/>
        </w:pBdr>
        <w:tabs>
          <w:tab w:val="left" w:pos="142"/>
        </w:tabs>
        <w:spacing w:after="120" w:line="360" w:lineRule="auto"/>
        <w:jc w:val="both"/>
        <w:rPr>
          <w:rFonts w:ascii="Arial" w:eastAsia="Arial" w:hAnsi="Arial" w:cs="Arial"/>
          <w:color w:val="010000"/>
          <w:sz w:val="20"/>
          <w:szCs w:val="20"/>
        </w:rPr>
      </w:pPr>
      <w:bookmarkStart w:id="0" w:name="_heading=h.gjdgxs"/>
      <w:bookmarkEnd w:id="0"/>
      <w:r w:rsidRPr="00175523">
        <w:rPr>
          <w:rFonts w:ascii="Arial" w:hAnsi="Arial" w:cs="Arial"/>
          <w:color w:val="010000"/>
          <w:sz w:val="20"/>
        </w:rPr>
        <w:t xml:space="preserve">Article 16: Approve the </w:t>
      </w:r>
      <w:r w:rsidR="00995305" w:rsidRPr="00175523">
        <w:rPr>
          <w:rFonts w:ascii="Arial" w:hAnsi="Arial" w:cs="Arial"/>
          <w:color w:val="010000"/>
          <w:sz w:val="20"/>
        </w:rPr>
        <w:t xml:space="preserve">election of replacement members </w:t>
      </w:r>
      <w:r w:rsidRPr="00175523">
        <w:rPr>
          <w:rFonts w:ascii="Arial" w:hAnsi="Arial" w:cs="Arial"/>
          <w:color w:val="010000"/>
          <w:sz w:val="20"/>
        </w:rPr>
        <w:t>to the Board of Directors for the term</w:t>
      </w:r>
      <w:r w:rsidR="00995305" w:rsidRPr="00175523">
        <w:rPr>
          <w:rFonts w:ascii="Arial" w:hAnsi="Arial" w:cs="Arial"/>
          <w:color w:val="010000"/>
          <w:sz w:val="20"/>
        </w:rPr>
        <w:t xml:space="preserve"> of</w:t>
      </w:r>
      <w:r w:rsidRPr="00175523">
        <w:rPr>
          <w:rFonts w:ascii="Arial" w:hAnsi="Arial" w:cs="Arial"/>
          <w:color w:val="010000"/>
          <w:sz w:val="20"/>
        </w:rPr>
        <w:t xml:space="preserve"> 2023-2027. The </w:t>
      </w:r>
      <w:r w:rsidR="00995305" w:rsidRPr="00175523">
        <w:rPr>
          <w:rFonts w:ascii="Arial" w:hAnsi="Arial" w:cs="Arial"/>
          <w:color w:val="010000"/>
          <w:sz w:val="20"/>
        </w:rPr>
        <w:t>General Meeting of Shareholders elects</w:t>
      </w:r>
      <w:r w:rsidRPr="00175523">
        <w:rPr>
          <w:rFonts w:ascii="Arial" w:hAnsi="Arial" w:cs="Arial"/>
          <w:color w:val="010000"/>
          <w:sz w:val="20"/>
        </w:rPr>
        <w:t>:</w:t>
      </w:r>
    </w:p>
    <w:p w14:paraId="0F251C25" w14:textId="3A7AA0C1" w:rsidR="002D4F36" w:rsidRPr="00175523" w:rsidRDefault="00BA5748" w:rsidP="00287B71">
      <w:pPr>
        <w:pStyle w:val="ListParagraph"/>
        <w:numPr>
          <w:ilvl w:val="0"/>
          <w:numId w:val="2"/>
        </w:numPr>
        <w:pBdr>
          <w:top w:val="nil"/>
          <w:left w:val="nil"/>
          <w:bottom w:val="nil"/>
          <w:right w:val="nil"/>
          <w:between w:val="nil"/>
        </w:pBdr>
        <w:tabs>
          <w:tab w:val="left" w:pos="142"/>
        </w:tabs>
        <w:spacing w:after="120" w:line="360" w:lineRule="auto"/>
        <w:contextualSpacing w:val="0"/>
        <w:jc w:val="both"/>
        <w:rPr>
          <w:rFonts w:ascii="Arial" w:eastAsia="Arial" w:hAnsi="Arial" w:cs="Arial"/>
          <w:color w:val="010000"/>
          <w:sz w:val="20"/>
          <w:szCs w:val="20"/>
        </w:rPr>
      </w:pPr>
      <w:r w:rsidRPr="00175523">
        <w:rPr>
          <w:rFonts w:ascii="Arial" w:hAnsi="Arial" w:cs="Arial"/>
          <w:color w:val="010000"/>
          <w:sz w:val="20"/>
        </w:rPr>
        <w:t xml:space="preserve">Mr. </w:t>
      </w:r>
      <w:r w:rsidR="00995305" w:rsidRPr="00175523">
        <w:rPr>
          <w:rFonts w:ascii="Arial" w:hAnsi="Arial" w:cs="Arial"/>
          <w:color w:val="010000"/>
          <w:sz w:val="20"/>
        </w:rPr>
        <w:t xml:space="preserve">Tran </w:t>
      </w:r>
      <w:proofErr w:type="spellStart"/>
      <w:r w:rsidR="00995305" w:rsidRPr="00175523">
        <w:rPr>
          <w:rFonts w:ascii="Arial" w:hAnsi="Arial" w:cs="Arial"/>
          <w:color w:val="010000"/>
          <w:sz w:val="20"/>
        </w:rPr>
        <w:t>Manh</w:t>
      </w:r>
      <w:proofErr w:type="spellEnd"/>
      <w:r w:rsidR="00995305" w:rsidRPr="00175523">
        <w:rPr>
          <w:rFonts w:ascii="Arial" w:hAnsi="Arial" w:cs="Arial"/>
          <w:color w:val="010000"/>
          <w:sz w:val="20"/>
        </w:rPr>
        <w:t xml:space="preserve"> </w:t>
      </w:r>
      <w:proofErr w:type="spellStart"/>
      <w:r w:rsidR="00995305" w:rsidRPr="00175523">
        <w:rPr>
          <w:rFonts w:ascii="Arial" w:hAnsi="Arial" w:cs="Arial"/>
          <w:color w:val="010000"/>
          <w:sz w:val="20"/>
        </w:rPr>
        <w:t>Huu</w:t>
      </w:r>
      <w:proofErr w:type="spellEnd"/>
      <w:r w:rsidR="00995305" w:rsidRPr="00175523">
        <w:rPr>
          <w:rFonts w:ascii="Arial" w:hAnsi="Arial" w:cs="Arial"/>
          <w:color w:val="010000"/>
          <w:sz w:val="20"/>
        </w:rPr>
        <w:t xml:space="preserve"> </w:t>
      </w:r>
      <w:r w:rsidRPr="00175523">
        <w:rPr>
          <w:rFonts w:ascii="Arial" w:hAnsi="Arial" w:cs="Arial"/>
          <w:color w:val="010000"/>
          <w:sz w:val="20"/>
        </w:rPr>
        <w:t xml:space="preserve">as </w:t>
      </w:r>
      <w:r w:rsidR="00995305" w:rsidRPr="00175523">
        <w:rPr>
          <w:rFonts w:ascii="Arial" w:hAnsi="Arial" w:cs="Arial"/>
          <w:color w:val="010000"/>
          <w:sz w:val="20"/>
        </w:rPr>
        <w:t xml:space="preserve">a </w:t>
      </w:r>
      <w:r w:rsidRPr="00175523">
        <w:rPr>
          <w:rFonts w:ascii="Arial" w:hAnsi="Arial" w:cs="Arial"/>
          <w:color w:val="010000"/>
          <w:sz w:val="20"/>
        </w:rPr>
        <w:t xml:space="preserve">member of </w:t>
      </w:r>
      <w:r w:rsidR="00995305" w:rsidRPr="00175523">
        <w:rPr>
          <w:rFonts w:ascii="Arial" w:hAnsi="Arial" w:cs="Arial"/>
          <w:color w:val="010000"/>
          <w:sz w:val="20"/>
        </w:rPr>
        <w:t xml:space="preserve">the </w:t>
      </w:r>
      <w:r w:rsidRPr="00175523">
        <w:rPr>
          <w:rFonts w:ascii="Arial" w:hAnsi="Arial" w:cs="Arial"/>
          <w:color w:val="010000"/>
          <w:sz w:val="20"/>
        </w:rPr>
        <w:t>Board of Directors.</w:t>
      </w:r>
    </w:p>
    <w:p w14:paraId="1DB560E1" w14:textId="77777777" w:rsidR="002D4F36" w:rsidRPr="00175523" w:rsidRDefault="00BA5748" w:rsidP="00287B71">
      <w:pPr>
        <w:pStyle w:val="ListParagraph"/>
        <w:numPr>
          <w:ilvl w:val="0"/>
          <w:numId w:val="2"/>
        </w:numPr>
        <w:pBdr>
          <w:top w:val="nil"/>
          <w:left w:val="nil"/>
          <w:bottom w:val="nil"/>
          <w:right w:val="nil"/>
          <w:between w:val="nil"/>
        </w:pBdr>
        <w:tabs>
          <w:tab w:val="left" w:pos="142"/>
        </w:tabs>
        <w:spacing w:after="120" w:line="360" w:lineRule="auto"/>
        <w:contextualSpacing w:val="0"/>
        <w:jc w:val="both"/>
        <w:rPr>
          <w:rFonts w:ascii="Arial" w:eastAsia="Arial" w:hAnsi="Arial" w:cs="Arial"/>
          <w:color w:val="010000"/>
          <w:sz w:val="20"/>
          <w:szCs w:val="20"/>
        </w:rPr>
      </w:pPr>
      <w:r w:rsidRPr="00175523">
        <w:rPr>
          <w:rFonts w:ascii="Arial" w:hAnsi="Arial" w:cs="Arial"/>
          <w:color w:val="010000"/>
          <w:sz w:val="20"/>
        </w:rPr>
        <w:t>The Board of Directors shall convene a meeting to elect the Chair of the Board of Directors.</w:t>
      </w:r>
    </w:p>
    <w:p w14:paraId="52525C5F" w14:textId="5823E760" w:rsidR="002D4F36" w:rsidRPr="00175523" w:rsidRDefault="00BA5748" w:rsidP="00287B71">
      <w:pPr>
        <w:pBdr>
          <w:top w:val="nil"/>
          <w:left w:val="nil"/>
          <w:bottom w:val="nil"/>
          <w:right w:val="nil"/>
          <w:between w:val="nil"/>
        </w:pBdr>
        <w:tabs>
          <w:tab w:val="left" w:pos="142"/>
        </w:tabs>
        <w:spacing w:after="120" w:line="360" w:lineRule="auto"/>
        <w:jc w:val="both"/>
        <w:rPr>
          <w:rFonts w:ascii="Arial" w:eastAsia="Arial" w:hAnsi="Arial" w:cs="Arial"/>
          <w:color w:val="010000"/>
          <w:sz w:val="20"/>
          <w:szCs w:val="20"/>
        </w:rPr>
      </w:pPr>
      <w:r w:rsidRPr="00175523">
        <w:rPr>
          <w:rFonts w:ascii="Arial" w:hAnsi="Arial" w:cs="Arial"/>
          <w:color w:val="010000"/>
          <w:sz w:val="20"/>
        </w:rPr>
        <w:t>Article 17: The General Meeting assign</w:t>
      </w:r>
      <w:r w:rsidR="00287B71">
        <w:rPr>
          <w:rFonts w:ascii="Arial" w:hAnsi="Arial" w:cs="Arial"/>
          <w:color w:val="010000"/>
          <w:sz w:val="20"/>
        </w:rPr>
        <w:t>s the Board of Directors and</w:t>
      </w:r>
      <w:r w:rsidRPr="00175523">
        <w:rPr>
          <w:rFonts w:ascii="Arial" w:hAnsi="Arial" w:cs="Arial"/>
          <w:color w:val="010000"/>
          <w:sz w:val="20"/>
        </w:rPr>
        <w:t xml:space="preserve"> Supervisory Board to implement the contents of the General Mandate </w:t>
      </w:r>
      <w:r w:rsidR="00287B71">
        <w:rPr>
          <w:rFonts w:ascii="Arial" w:hAnsi="Arial" w:cs="Arial"/>
          <w:color w:val="010000"/>
          <w:sz w:val="20"/>
        </w:rPr>
        <w:t>under applicable laws</w:t>
      </w:r>
      <w:r w:rsidRPr="00175523">
        <w:rPr>
          <w:rFonts w:ascii="Arial" w:hAnsi="Arial" w:cs="Arial"/>
          <w:color w:val="010000"/>
          <w:sz w:val="20"/>
        </w:rPr>
        <w:t xml:space="preserve"> and the Company’s Charter, and report the results to the General Meeting </w:t>
      </w:r>
      <w:bookmarkStart w:id="1" w:name="_GoBack"/>
      <w:bookmarkEnd w:id="1"/>
      <w:r w:rsidRPr="00175523">
        <w:rPr>
          <w:rFonts w:ascii="Arial" w:hAnsi="Arial" w:cs="Arial"/>
          <w:color w:val="010000"/>
          <w:sz w:val="20"/>
        </w:rPr>
        <w:t xml:space="preserve">in the next </w:t>
      </w:r>
      <w:r w:rsidR="007C28B0" w:rsidRPr="00175523">
        <w:rPr>
          <w:rFonts w:ascii="Arial" w:hAnsi="Arial" w:cs="Arial"/>
          <w:color w:val="010000"/>
          <w:sz w:val="20"/>
        </w:rPr>
        <w:t>meeting</w:t>
      </w:r>
      <w:r w:rsidRPr="00175523">
        <w:rPr>
          <w:rFonts w:ascii="Arial" w:hAnsi="Arial" w:cs="Arial"/>
          <w:color w:val="010000"/>
          <w:sz w:val="20"/>
        </w:rPr>
        <w:t xml:space="preserve">. </w:t>
      </w:r>
    </w:p>
    <w:sectPr w:rsidR="002D4F36" w:rsidRPr="00175523" w:rsidSect="0017552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1E01"/>
    <w:multiLevelType w:val="multilevel"/>
    <w:tmpl w:val="7536323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22B738D"/>
    <w:multiLevelType w:val="hybridMultilevel"/>
    <w:tmpl w:val="9406419A"/>
    <w:lvl w:ilvl="0" w:tplc="FD44AC26">
      <w:start w:val="1"/>
      <w:numFmt w:val="bullet"/>
      <w:lvlText w:val="+"/>
      <w:lvlJc w:val="left"/>
      <w:pPr>
        <w:ind w:left="720" w:hanging="360"/>
      </w:pPr>
      <w:rPr>
        <w:rFonts w:ascii="Arial" w:hAnsi="Arial" w:hint="default"/>
        <w:b w:val="0"/>
        <w:i w:val="0"/>
        <w:sz w:val="20"/>
      </w:rPr>
    </w:lvl>
    <w:lvl w:ilvl="1" w:tplc="F63CFFD6" w:tentative="1">
      <w:start w:val="1"/>
      <w:numFmt w:val="bullet"/>
      <w:lvlText w:val="o"/>
      <w:lvlJc w:val="left"/>
      <w:pPr>
        <w:ind w:left="1440" w:hanging="360"/>
      </w:pPr>
      <w:rPr>
        <w:rFonts w:ascii="Courier New" w:hAnsi="Courier New" w:cs="Courier New" w:hint="default"/>
        <w:b w:val="0"/>
        <w:i w:val="0"/>
        <w:sz w:val="20"/>
      </w:rPr>
    </w:lvl>
    <w:lvl w:ilvl="2" w:tplc="0BB8E9A2"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C5FAF"/>
    <w:multiLevelType w:val="multilevel"/>
    <w:tmpl w:val="A4C81254"/>
    <w:lvl w:ilvl="0">
      <w:start w:val="2"/>
      <w:numFmt w:val="bullet"/>
      <w:lvlText w:val="-"/>
      <w:lvlJc w:val="left"/>
      <w:pPr>
        <w:ind w:left="409" w:hanging="360"/>
      </w:pPr>
      <w:rPr>
        <w:rFonts w:ascii="Arial" w:eastAsia="Arial" w:hAnsi="Arial" w:cs="Arial"/>
        <w:b w:val="0"/>
        <w:i w:val="0"/>
        <w:sz w:val="20"/>
      </w:rPr>
    </w:lvl>
    <w:lvl w:ilvl="1">
      <w:start w:val="1"/>
      <w:numFmt w:val="bullet"/>
      <w:lvlText w:val="o"/>
      <w:lvlJc w:val="left"/>
      <w:pPr>
        <w:ind w:left="1129" w:hanging="360"/>
      </w:pPr>
      <w:rPr>
        <w:rFonts w:ascii="Courier New" w:eastAsia="Courier New" w:hAnsi="Courier New" w:cs="Courier New"/>
        <w:b w:val="0"/>
        <w:i w:val="0"/>
        <w:sz w:val="20"/>
      </w:rPr>
    </w:lvl>
    <w:lvl w:ilvl="2">
      <w:start w:val="1"/>
      <w:numFmt w:val="bullet"/>
      <w:lvlText w:val="▪"/>
      <w:lvlJc w:val="left"/>
      <w:pPr>
        <w:ind w:left="1849" w:hanging="360"/>
      </w:pPr>
      <w:rPr>
        <w:rFonts w:ascii="Noto Sans Symbols" w:eastAsia="Noto Sans Symbols" w:hAnsi="Noto Sans Symbols" w:cs="Noto Sans Symbols"/>
        <w:b w:val="0"/>
        <w:i w:val="0"/>
        <w:sz w:val="20"/>
      </w:rPr>
    </w:lvl>
    <w:lvl w:ilvl="3">
      <w:start w:val="1"/>
      <w:numFmt w:val="bullet"/>
      <w:lvlText w:val="●"/>
      <w:lvlJc w:val="left"/>
      <w:pPr>
        <w:ind w:left="2569" w:hanging="360"/>
      </w:pPr>
      <w:rPr>
        <w:rFonts w:ascii="Noto Sans Symbols" w:eastAsia="Noto Sans Symbols" w:hAnsi="Noto Sans Symbols" w:cs="Noto Sans Symbols"/>
      </w:rPr>
    </w:lvl>
    <w:lvl w:ilvl="4">
      <w:start w:val="1"/>
      <w:numFmt w:val="bullet"/>
      <w:lvlText w:val="o"/>
      <w:lvlJc w:val="left"/>
      <w:pPr>
        <w:ind w:left="3289" w:hanging="360"/>
      </w:pPr>
      <w:rPr>
        <w:rFonts w:ascii="Courier New" w:eastAsia="Courier New" w:hAnsi="Courier New" w:cs="Courier New"/>
      </w:rPr>
    </w:lvl>
    <w:lvl w:ilvl="5">
      <w:start w:val="1"/>
      <w:numFmt w:val="bullet"/>
      <w:lvlText w:val="▪"/>
      <w:lvlJc w:val="left"/>
      <w:pPr>
        <w:ind w:left="4009" w:hanging="360"/>
      </w:pPr>
      <w:rPr>
        <w:rFonts w:ascii="Noto Sans Symbols" w:eastAsia="Noto Sans Symbols" w:hAnsi="Noto Sans Symbols" w:cs="Noto Sans Symbols"/>
      </w:rPr>
    </w:lvl>
    <w:lvl w:ilvl="6">
      <w:start w:val="1"/>
      <w:numFmt w:val="bullet"/>
      <w:lvlText w:val="●"/>
      <w:lvlJc w:val="left"/>
      <w:pPr>
        <w:ind w:left="4729" w:hanging="360"/>
      </w:pPr>
      <w:rPr>
        <w:rFonts w:ascii="Noto Sans Symbols" w:eastAsia="Noto Sans Symbols" w:hAnsi="Noto Sans Symbols" w:cs="Noto Sans Symbols"/>
      </w:rPr>
    </w:lvl>
    <w:lvl w:ilvl="7">
      <w:start w:val="1"/>
      <w:numFmt w:val="bullet"/>
      <w:lvlText w:val="o"/>
      <w:lvlJc w:val="left"/>
      <w:pPr>
        <w:ind w:left="5449" w:hanging="360"/>
      </w:pPr>
      <w:rPr>
        <w:rFonts w:ascii="Courier New" w:eastAsia="Courier New" w:hAnsi="Courier New" w:cs="Courier New"/>
      </w:rPr>
    </w:lvl>
    <w:lvl w:ilvl="8">
      <w:start w:val="1"/>
      <w:numFmt w:val="bullet"/>
      <w:lvlText w:val="▪"/>
      <w:lvlJc w:val="left"/>
      <w:pPr>
        <w:ind w:left="6169" w:hanging="360"/>
      </w:pPr>
      <w:rPr>
        <w:rFonts w:ascii="Noto Sans Symbols" w:eastAsia="Noto Sans Symbols" w:hAnsi="Noto Sans Symbols" w:cs="Noto Sans Symbols"/>
      </w:rPr>
    </w:lvl>
  </w:abstractNum>
  <w:abstractNum w:abstractNumId="3" w15:restartNumberingAfterBreak="0">
    <w:nsid w:val="373D6FC8"/>
    <w:multiLevelType w:val="hybridMultilevel"/>
    <w:tmpl w:val="28C46870"/>
    <w:lvl w:ilvl="0" w:tplc="62F4B22C">
      <w:start w:val="1"/>
      <w:numFmt w:val="bullet"/>
      <w:lvlText w:val="+"/>
      <w:lvlJc w:val="left"/>
      <w:pPr>
        <w:ind w:left="720" w:hanging="360"/>
      </w:pPr>
      <w:rPr>
        <w:rFonts w:ascii="Arial" w:hAnsi="Arial" w:hint="default"/>
        <w:b w:val="0"/>
        <w:i w:val="0"/>
        <w:sz w:val="20"/>
      </w:rPr>
    </w:lvl>
    <w:lvl w:ilvl="1" w:tplc="FF1C98DE" w:tentative="1">
      <w:start w:val="1"/>
      <w:numFmt w:val="bullet"/>
      <w:lvlText w:val="o"/>
      <w:lvlJc w:val="left"/>
      <w:pPr>
        <w:ind w:left="1440" w:hanging="360"/>
      </w:pPr>
      <w:rPr>
        <w:rFonts w:ascii="Courier New" w:hAnsi="Courier New" w:cs="Courier New" w:hint="default"/>
        <w:b w:val="0"/>
        <w:i w:val="0"/>
        <w:sz w:val="20"/>
      </w:rPr>
    </w:lvl>
    <w:lvl w:ilvl="2" w:tplc="0C40351C"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AF1297"/>
    <w:multiLevelType w:val="hybridMultilevel"/>
    <w:tmpl w:val="2B0E2482"/>
    <w:lvl w:ilvl="0" w:tplc="6294579E">
      <w:start w:val="1"/>
      <w:numFmt w:val="bullet"/>
      <w:lvlText w:val="+"/>
      <w:lvlJc w:val="left"/>
      <w:pPr>
        <w:ind w:left="720" w:hanging="360"/>
      </w:pPr>
      <w:rPr>
        <w:rFonts w:ascii="Arial" w:hAnsi="Arial" w:hint="default"/>
        <w:b w:val="0"/>
        <w:i w:val="0"/>
        <w:sz w:val="20"/>
      </w:rPr>
    </w:lvl>
    <w:lvl w:ilvl="1" w:tplc="5CD6EE00" w:tentative="1">
      <w:start w:val="1"/>
      <w:numFmt w:val="bullet"/>
      <w:lvlText w:val="o"/>
      <w:lvlJc w:val="left"/>
      <w:pPr>
        <w:ind w:left="1440" w:hanging="360"/>
      </w:pPr>
      <w:rPr>
        <w:rFonts w:ascii="Courier New" w:hAnsi="Courier New" w:cs="Courier New" w:hint="default"/>
        <w:b w:val="0"/>
        <w:i w:val="0"/>
        <w:sz w:val="20"/>
      </w:rPr>
    </w:lvl>
    <w:lvl w:ilvl="2" w:tplc="D712596C"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F36"/>
    <w:rsid w:val="000F455E"/>
    <w:rsid w:val="00175523"/>
    <w:rsid w:val="0028369B"/>
    <w:rsid w:val="00287B71"/>
    <w:rsid w:val="002D4F36"/>
    <w:rsid w:val="00327174"/>
    <w:rsid w:val="0046540B"/>
    <w:rsid w:val="007C28B0"/>
    <w:rsid w:val="009206D9"/>
    <w:rsid w:val="00995305"/>
    <w:rsid w:val="00BA5748"/>
    <w:rsid w:val="00C26BA8"/>
    <w:rsid w:val="00E861BE"/>
    <w:rsid w:val="00EA4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EEF06"/>
  <w15:docId w15:val="{E57D920A-89DD-4212-AB88-C32A3503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4">
    <w:name w:val="Văn bản nội dung (4)_"/>
    <w:basedOn w:val="DefaultParagraphFont"/>
    <w:link w:val="Vnbnnidung40"/>
    <w:rPr>
      <w:rFonts w:ascii="Corbel" w:eastAsia="Corbel" w:hAnsi="Corbel" w:cs="Corbel"/>
      <w:b w:val="0"/>
      <w:bCs w:val="0"/>
      <w:i w:val="0"/>
      <w:iCs w:val="0"/>
      <w:smallCaps w:val="0"/>
      <w:strike w:val="0"/>
      <w:sz w:val="24"/>
      <w:szCs w:val="24"/>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2"/>
      <w:szCs w:val="12"/>
      <w:u w:val="none"/>
      <w:shd w:val="clear" w:color="auto" w:fill="auto"/>
    </w:rPr>
  </w:style>
  <w:style w:type="character" w:customStyle="1" w:styleId="Vnbnnidung5">
    <w:name w:val="Văn bản nội dung (5)_"/>
    <w:basedOn w:val="DefaultParagraphFont"/>
    <w:link w:val="Vnbnnidung50"/>
    <w:rPr>
      <w:rFonts w:ascii="Arial" w:eastAsia="Arial" w:hAnsi="Arial" w:cs="Arial"/>
      <w:b/>
      <w:bCs/>
      <w:i/>
      <w:iCs/>
      <w:smallCaps w:val="0"/>
      <w:strike w:val="0"/>
      <w:color w:val="E35D7B"/>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393939"/>
      <w:sz w:val="30"/>
      <w:szCs w:val="3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E35D7B"/>
      <w:sz w:val="18"/>
      <w:szCs w:val="18"/>
      <w:u w:val="none"/>
      <w:shd w:val="clear" w:color="auto" w:fill="auto"/>
    </w:rPr>
  </w:style>
  <w:style w:type="paragraph" w:customStyle="1" w:styleId="Vnbnnidung0">
    <w:name w:val="Văn bản nội dung"/>
    <w:basedOn w:val="Normal"/>
    <w:link w:val="Vnbnnidung"/>
    <w:pPr>
      <w:spacing w:line="278" w:lineRule="auto"/>
      <w:ind w:firstLine="400"/>
    </w:pPr>
    <w:rPr>
      <w:rFonts w:ascii="Times New Roman" w:eastAsia="Times New Roman" w:hAnsi="Times New Roman" w:cs="Times New Roman"/>
    </w:rPr>
  </w:style>
  <w:style w:type="paragraph" w:customStyle="1" w:styleId="Vnbnnidung40">
    <w:name w:val="Văn bản nội dung (4)"/>
    <w:basedOn w:val="Normal"/>
    <w:link w:val="Vnbnnidung4"/>
    <w:pPr>
      <w:jc w:val="right"/>
    </w:pPr>
    <w:rPr>
      <w:rFonts w:ascii="Corbel" w:eastAsia="Corbel" w:hAnsi="Corbel" w:cs="Corbel"/>
    </w:rPr>
  </w:style>
  <w:style w:type="paragraph" w:customStyle="1" w:styleId="Vnbnnidung20">
    <w:name w:val="Văn bản nội dung (2)"/>
    <w:basedOn w:val="Normal"/>
    <w:link w:val="Vnbnnidung2"/>
    <w:rPr>
      <w:rFonts w:ascii="Arial" w:eastAsia="Arial" w:hAnsi="Arial" w:cs="Arial"/>
      <w:sz w:val="12"/>
      <w:szCs w:val="12"/>
    </w:rPr>
  </w:style>
  <w:style w:type="paragraph" w:customStyle="1" w:styleId="Vnbnnidung50">
    <w:name w:val="Văn bản nội dung (5)"/>
    <w:basedOn w:val="Normal"/>
    <w:link w:val="Vnbnnidung5"/>
    <w:pPr>
      <w:spacing w:line="233" w:lineRule="auto"/>
      <w:jc w:val="right"/>
    </w:pPr>
    <w:rPr>
      <w:rFonts w:ascii="Arial" w:eastAsia="Arial" w:hAnsi="Arial" w:cs="Arial"/>
      <w:b/>
      <w:bCs/>
      <w:i/>
      <w:iCs/>
      <w:color w:val="E35D7B"/>
      <w:sz w:val="20"/>
      <w:szCs w:val="20"/>
    </w:rPr>
  </w:style>
  <w:style w:type="paragraph" w:customStyle="1" w:styleId="Tiu10">
    <w:name w:val="Tiêu đề #1"/>
    <w:basedOn w:val="Normal"/>
    <w:link w:val="Tiu1"/>
    <w:pPr>
      <w:jc w:val="center"/>
      <w:outlineLvl w:val="0"/>
    </w:pPr>
    <w:rPr>
      <w:rFonts w:ascii="Times New Roman" w:eastAsia="Times New Roman" w:hAnsi="Times New Roman" w:cs="Times New Roman"/>
      <w:b/>
      <w:bCs/>
      <w:color w:val="393939"/>
      <w:sz w:val="30"/>
      <w:szCs w:val="30"/>
    </w:rPr>
  </w:style>
  <w:style w:type="paragraph" w:customStyle="1" w:styleId="Chthchbng0">
    <w:name w:val="Chú thích bảng"/>
    <w:basedOn w:val="Normal"/>
    <w:link w:val="Chthchbng"/>
    <w:pPr>
      <w:spacing w:line="290" w:lineRule="auto"/>
      <w:ind w:firstLine="470"/>
    </w:pPr>
    <w:rPr>
      <w:rFonts w:ascii="Times New Roman" w:eastAsia="Times New Roman" w:hAnsi="Times New Roman" w:cs="Times New Roman"/>
      <w:sz w:val="26"/>
      <w:szCs w:val="26"/>
    </w:rPr>
  </w:style>
  <w:style w:type="paragraph" w:customStyle="1" w:styleId="Khc0">
    <w:name w:val="Khác"/>
    <w:basedOn w:val="Normal"/>
    <w:link w:val="Khc"/>
    <w:pPr>
      <w:spacing w:line="278" w:lineRule="auto"/>
      <w:ind w:firstLine="400"/>
    </w:pPr>
    <w:rPr>
      <w:rFonts w:ascii="Times New Roman" w:eastAsia="Times New Roman" w:hAnsi="Times New Roman" w:cs="Times New Roman"/>
    </w:rPr>
  </w:style>
  <w:style w:type="paragraph" w:customStyle="1" w:styleId="Vnbnnidung30">
    <w:name w:val="Văn bản nội dung (3)"/>
    <w:basedOn w:val="Normal"/>
    <w:link w:val="Vnbnnidung3"/>
    <w:pPr>
      <w:spacing w:line="264" w:lineRule="auto"/>
    </w:pPr>
    <w:rPr>
      <w:rFonts w:ascii="Arial" w:eastAsia="Arial" w:hAnsi="Arial" w:cs="Arial"/>
      <w:b/>
      <w:bCs/>
      <w:color w:val="E35D7B"/>
      <w:sz w:val="18"/>
      <w:szCs w:val="18"/>
    </w:rPr>
  </w:style>
  <w:style w:type="table" w:styleId="TableGrid">
    <w:name w:val="Table Grid"/>
    <w:basedOn w:val="TableNormal"/>
    <w:uiPriority w:val="39"/>
    <w:rsid w:val="00263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920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03075">
      <w:bodyDiv w:val="1"/>
      <w:marLeft w:val="0"/>
      <w:marRight w:val="0"/>
      <w:marTop w:val="0"/>
      <w:marBottom w:val="0"/>
      <w:divBdr>
        <w:top w:val="none" w:sz="0" w:space="0" w:color="auto"/>
        <w:left w:val="none" w:sz="0" w:space="0" w:color="auto"/>
        <w:bottom w:val="none" w:sz="0" w:space="0" w:color="auto"/>
        <w:right w:val="none" w:sz="0" w:space="0" w:color="auto"/>
      </w:divBdr>
    </w:div>
    <w:div w:id="1098065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4nRI6f+WBcsGwR3yan+iEaqqcw==">CgMxLjAyCGguZ2pkZ3hzOAByITFNR2pDR0llMTNXRjhXZk5UOVZYY0JILWktWFkwZEQ4NA==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2024-04-10T03:44:00Z</dcterms:created>
  <dcterms:modified xsi:type="dcterms:W3CDTF">2024-04-10T03:44:00Z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efac4596b1e6cdc36bbff627682838423bd6292838aaae7002cccb95498d1d0e</vt:lpwstr>
  </property>
</Properties>
</file>