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77945"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252CC5">
        <w:rPr>
          <w:rFonts w:ascii="Arial" w:hAnsi="Arial" w:cs="Arial"/>
          <w:b/>
          <w:color w:val="010000"/>
          <w:sz w:val="20"/>
          <w:szCs w:val="20"/>
        </w:rPr>
        <w:t>ABB: Annual General Mandate 2024</w:t>
      </w:r>
    </w:p>
    <w:p w14:paraId="4BC4126C" w14:textId="2251C288"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xml:space="preserve">On April 05, 2024, An </w:t>
      </w:r>
      <w:proofErr w:type="spellStart"/>
      <w:r w:rsidRPr="00252CC5">
        <w:rPr>
          <w:rFonts w:ascii="Arial" w:hAnsi="Arial" w:cs="Arial"/>
          <w:color w:val="010000"/>
          <w:sz w:val="20"/>
          <w:szCs w:val="20"/>
        </w:rPr>
        <w:t>Binh</w:t>
      </w:r>
      <w:proofErr w:type="spellEnd"/>
      <w:r w:rsidRPr="00252CC5">
        <w:rPr>
          <w:rFonts w:ascii="Arial" w:hAnsi="Arial" w:cs="Arial"/>
          <w:color w:val="010000"/>
          <w:sz w:val="20"/>
          <w:szCs w:val="20"/>
        </w:rPr>
        <w:t xml:space="preserve"> Commercial Joint Stock Bank announced </w:t>
      </w:r>
      <w:r w:rsidR="00D43B6F" w:rsidRPr="00252CC5">
        <w:rPr>
          <w:rFonts w:ascii="Arial" w:hAnsi="Arial" w:cs="Arial"/>
          <w:color w:val="010000"/>
          <w:sz w:val="20"/>
          <w:szCs w:val="20"/>
        </w:rPr>
        <w:t xml:space="preserve">the </w:t>
      </w:r>
      <w:r w:rsidRPr="00252CC5">
        <w:rPr>
          <w:rFonts w:ascii="Arial" w:hAnsi="Arial" w:cs="Arial"/>
          <w:color w:val="010000"/>
          <w:sz w:val="20"/>
          <w:szCs w:val="20"/>
        </w:rPr>
        <w:t>General Mandate as follows:</w:t>
      </w:r>
    </w:p>
    <w:p w14:paraId="3C03A894" w14:textId="77777777" w:rsidR="007C22DA" w:rsidRPr="00252CC5" w:rsidRDefault="008672FD" w:rsidP="00252CC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‎‎Article 1. Contents approved by the General Meeting of Shareholders</w:t>
      </w:r>
    </w:p>
    <w:p w14:paraId="73670C74"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xml:space="preserve">The General Meeting of Shareholders of An </w:t>
      </w:r>
      <w:proofErr w:type="spellStart"/>
      <w:r w:rsidRPr="00252CC5">
        <w:rPr>
          <w:rFonts w:ascii="Arial" w:hAnsi="Arial" w:cs="Arial"/>
          <w:color w:val="010000"/>
          <w:sz w:val="20"/>
          <w:szCs w:val="20"/>
        </w:rPr>
        <w:t>Binh</w:t>
      </w:r>
      <w:proofErr w:type="spellEnd"/>
      <w:r w:rsidRPr="00252CC5">
        <w:rPr>
          <w:rFonts w:ascii="Arial" w:hAnsi="Arial" w:cs="Arial"/>
          <w:color w:val="010000"/>
          <w:sz w:val="20"/>
          <w:szCs w:val="20"/>
        </w:rPr>
        <w:t xml:space="preserve"> Commercial Joint Stock Bank (ABBANK) approves the following contents at the Annual Meeting on April 5, 2024:</w:t>
      </w:r>
    </w:p>
    <w:p w14:paraId="5355C469" w14:textId="77777777" w:rsidR="007C22DA" w:rsidRPr="00252CC5" w:rsidRDefault="008672FD" w:rsidP="00252CC5">
      <w:pPr>
        <w:numPr>
          <w:ilvl w:val="0"/>
          <w:numId w:val="2"/>
        </w:numPr>
        <w:pBdr>
          <w:top w:val="nil"/>
          <w:left w:val="nil"/>
          <w:bottom w:val="nil"/>
          <w:right w:val="nil"/>
          <w:between w:val="nil"/>
        </w:pBdr>
        <w:tabs>
          <w:tab w:val="left" w:pos="432"/>
          <w:tab w:val="left" w:pos="1030"/>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Approve the Report on business results in 2023;</w:t>
      </w:r>
    </w:p>
    <w:p w14:paraId="1C5CDD2B" w14:textId="77777777" w:rsidR="007C22DA" w:rsidRPr="00252CC5" w:rsidRDefault="008672FD" w:rsidP="00260F58">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252CC5">
        <w:rPr>
          <w:rFonts w:ascii="Arial" w:hAnsi="Arial" w:cs="Arial"/>
          <w:i/>
          <w:color w:val="010000"/>
          <w:sz w:val="20"/>
          <w:szCs w:val="20"/>
        </w:rPr>
        <w:t>Unit: Billion VND, %</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
        <w:gridCol w:w="2500"/>
        <w:gridCol w:w="1291"/>
        <w:gridCol w:w="1315"/>
        <w:gridCol w:w="997"/>
        <w:gridCol w:w="1003"/>
        <w:gridCol w:w="990"/>
      </w:tblGrid>
      <w:tr w:rsidR="007C22DA" w:rsidRPr="00252CC5" w14:paraId="2B69355A" w14:textId="77777777" w:rsidTr="00260F58">
        <w:trPr>
          <w:jc w:val="center"/>
        </w:trPr>
        <w:tc>
          <w:tcPr>
            <w:tcW w:w="1897" w:type="pct"/>
            <w:gridSpan w:val="2"/>
            <w:vMerge w:val="restart"/>
            <w:shd w:val="clear" w:color="auto" w:fill="auto"/>
            <w:tcMar>
              <w:top w:w="0" w:type="dxa"/>
              <w:bottom w:w="0" w:type="dxa"/>
            </w:tcMar>
            <w:vAlign w:val="center"/>
          </w:tcPr>
          <w:p w14:paraId="319D791D"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sz w:val="20"/>
                <w:szCs w:val="20"/>
              </w:rPr>
              <w:t>Target</w:t>
            </w:r>
          </w:p>
        </w:tc>
        <w:tc>
          <w:tcPr>
            <w:tcW w:w="1445" w:type="pct"/>
            <w:gridSpan w:val="2"/>
            <w:shd w:val="clear" w:color="auto" w:fill="auto"/>
            <w:tcMar>
              <w:top w:w="0" w:type="dxa"/>
              <w:bottom w:w="0" w:type="dxa"/>
            </w:tcMar>
            <w:vAlign w:val="center"/>
          </w:tcPr>
          <w:p w14:paraId="013C13BF"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sz w:val="20"/>
                <w:szCs w:val="20"/>
              </w:rPr>
              <w:t>Results</w:t>
            </w:r>
          </w:p>
        </w:tc>
        <w:tc>
          <w:tcPr>
            <w:tcW w:w="553" w:type="pct"/>
            <w:shd w:val="clear" w:color="auto" w:fill="auto"/>
            <w:tcMar>
              <w:top w:w="0" w:type="dxa"/>
              <w:bottom w:w="0" w:type="dxa"/>
            </w:tcMar>
            <w:vAlign w:val="center"/>
          </w:tcPr>
          <w:p w14:paraId="78CE416D"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Plan</w:t>
            </w:r>
          </w:p>
        </w:tc>
        <w:tc>
          <w:tcPr>
            <w:tcW w:w="556" w:type="pct"/>
            <w:shd w:val="clear" w:color="auto" w:fill="auto"/>
            <w:tcMar>
              <w:top w:w="0" w:type="dxa"/>
              <w:bottom w:w="0" w:type="dxa"/>
            </w:tcMar>
            <w:vAlign w:val="center"/>
          </w:tcPr>
          <w:p w14:paraId="1BB0F7E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Compared to 2022 Results</w:t>
            </w:r>
          </w:p>
        </w:tc>
        <w:tc>
          <w:tcPr>
            <w:tcW w:w="549" w:type="pct"/>
            <w:shd w:val="clear" w:color="auto" w:fill="auto"/>
            <w:tcMar>
              <w:top w:w="0" w:type="dxa"/>
              <w:bottom w:w="0" w:type="dxa"/>
            </w:tcMar>
            <w:vAlign w:val="center"/>
          </w:tcPr>
          <w:p w14:paraId="6F22F6F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Compared to 2023 Plan</w:t>
            </w:r>
          </w:p>
        </w:tc>
      </w:tr>
      <w:tr w:rsidR="007C22DA" w:rsidRPr="00252CC5" w14:paraId="4520BC81" w14:textId="77777777" w:rsidTr="00260F58">
        <w:trPr>
          <w:jc w:val="center"/>
        </w:trPr>
        <w:tc>
          <w:tcPr>
            <w:tcW w:w="1897" w:type="pct"/>
            <w:gridSpan w:val="2"/>
            <w:vMerge/>
            <w:shd w:val="clear" w:color="auto" w:fill="auto"/>
            <w:tcMar>
              <w:top w:w="0" w:type="dxa"/>
              <w:bottom w:w="0" w:type="dxa"/>
            </w:tcMar>
            <w:vAlign w:val="center"/>
          </w:tcPr>
          <w:p w14:paraId="7E308C71" w14:textId="77777777" w:rsidR="007C22DA" w:rsidRPr="00252CC5" w:rsidRDefault="007C22DA" w:rsidP="00252CC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16" w:type="pct"/>
            <w:shd w:val="clear" w:color="auto" w:fill="auto"/>
            <w:tcMar>
              <w:top w:w="0" w:type="dxa"/>
              <w:bottom w:w="0" w:type="dxa"/>
            </w:tcMar>
            <w:vAlign w:val="center"/>
          </w:tcPr>
          <w:p w14:paraId="2788C795"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2023</w:t>
            </w:r>
          </w:p>
        </w:tc>
        <w:tc>
          <w:tcPr>
            <w:tcW w:w="729" w:type="pct"/>
            <w:shd w:val="clear" w:color="auto" w:fill="auto"/>
            <w:tcMar>
              <w:top w:w="0" w:type="dxa"/>
              <w:bottom w:w="0" w:type="dxa"/>
            </w:tcMar>
            <w:vAlign w:val="center"/>
          </w:tcPr>
          <w:p w14:paraId="455D74C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2022</w:t>
            </w:r>
          </w:p>
        </w:tc>
        <w:tc>
          <w:tcPr>
            <w:tcW w:w="553" w:type="pct"/>
            <w:shd w:val="clear" w:color="auto" w:fill="auto"/>
            <w:tcMar>
              <w:top w:w="0" w:type="dxa"/>
              <w:bottom w:w="0" w:type="dxa"/>
            </w:tcMar>
            <w:vAlign w:val="center"/>
          </w:tcPr>
          <w:p w14:paraId="2D559B02"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2023</w:t>
            </w:r>
          </w:p>
        </w:tc>
        <w:tc>
          <w:tcPr>
            <w:tcW w:w="556" w:type="pct"/>
            <w:shd w:val="clear" w:color="auto" w:fill="auto"/>
            <w:tcMar>
              <w:top w:w="0" w:type="dxa"/>
              <w:bottom w:w="0" w:type="dxa"/>
            </w:tcMar>
            <w:vAlign w:val="center"/>
          </w:tcPr>
          <w:p w14:paraId="482875B7"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w:t>
            </w:r>
          </w:p>
        </w:tc>
        <w:tc>
          <w:tcPr>
            <w:tcW w:w="549" w:type="pct"/>
            <w:shd w:val="clear" w:color="auto" w:fill="auto"/>
            <w:tcMar>
              <w:top w:w="0" w:type="dxa"/>
              <w:bottom w:w="0" w:type="dxa"/>
            </w:tcMar>
            <w:vAlign w:val="center"/>
          </w:tcPr>
          <w:p w14:paraId="5338CD17"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w:t>
            </w:r>
          </w:p>
        </w:tc>
      </w:tr>
      <w:tr w:rsidR="007C22DA" w:rsidRPr="00252CC5" w14:paraId="2052D853" w14:textId="77777777" w:rsidTr="00260F58">
        <w:trPr>
          <w:jc w:val="center"/>
        </w:trPr>
        <w:tc>
          <w:tcPr>
            <w:tcW w:w="511" w:type="pct"/>
            <w:vMerge w:val="restart"/>
            <w:shd w:val="clear" w:color="auto" w:fill="auto"/>
            <w:tcMar>
              <w:top w:w="0" w:type="dxa"/>
              <w:bottom w:w="0" w:type="dxa"/>
            </w:tcMar>
            <w:vAlign w:val="center"/>
          </w:tcPr>
          <w:p w14:paraId="13EC6FD7"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xml:space="preserve">Scale </w:t>
            </w:r>
          </w:p>
        </w:tc>
        <w:tc>
          <w:tcPr>
            <w:tcW w:w="1386" w:type="pct"/>
            <w:shd w:val="clear" w:color="auto" w:fill="auto"/>
            <w:tcMar>
              <w:top w:w="0" w:type="dxa"/>
              <w:bottom w:w="0" w:type="dxa"/>
            </w:tcMar>
            <w:vAlign w:val="center"/>
          </w:tcPr>
          <w:p w14:paraId="708B4FD0"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Total assets</w:t>
            </w:r>
          </w:p>
        </w:tc>
        <w:tc>
          <w:tcPr>
            <w:tcW w:w="716" w:type="pct"/>
            <w:shd w:val="clear" w:color="auto" w:fill="auto"/>
            <w:tcMar>
              <w:top w:w="0" w:type="dxa"/>
              <w:bottom w:w="0" w:type="dxa"/>
            </w:tcMar>
            <w:vAlign w:val="center"/>
          </w:tcPr>
          <w:p w14:paraId="2B81CE0F"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161,977</w:t>
            </w:r>
          </w:p>
        </w:tc>
        <w:tc>
          <w:tcPr>
            <w:tcW w:w="729" w:type="pct"/>
            <w:shd w:val="clear" w:color="auto" w:fill="auto"/>
            <w:tcMar>
              <w:top w:w="0" w:type="dxa"/>
              <w:bottom w:w="0" w:type="dxa"/>
            </w:tcMar>
            <w:vAlign w:val="center"/>
          </w:tcPr>
          <w:p w14:paraId="2DCAD3B7"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130,065</w:t>
            </w:r>
          </w:p>
        </w:tc>
        <w:tc>
          <w:tcPr>
            <w:tcW w:w="553" w:type="pct"/>
            <w:shd w:val="clear" w:color="auto" w:fill="auto"/>
            <w:tcMar>
              <w:top w:w="0" w:type="dxa"/>
              <w:bottom w:w="0" w:type="dxa"/>
            </w:tcMar>
            <w:vAlign w:val="center"/>
          </w:tcPr>
          <w:p w14:paraId="5928EB25"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136,816</w:t>
            </w:r>
          </w:p>
        </w:tc>
        <w:tc>
          <w:tcPr>
            <w:tcW w:w="556" w:type="pct"/>
            <w:shd w:val="clear" w:color="auto" w:fill="auto"/>
            <w:tcMar>
              <w:top w:w="0" w:type="dxa"/>
              <w:bottom w:w="0" w:type="dxa"/>
            </w:tcMar>
            <w:vAlign w:val="center"/>
          </w:tcPr>
          <w:p w14:paraId="11D1D837"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125%</w:t>
            </w:r>
          </w:p>
        </w:tc>
        <w:tc>
          <w:tcPr>
            <w:tcW w:w="549" w:type="pct"/>
            <w:shd w:val="clear" w:color="auto" w:fill="auto"/>
            <w:tcMar>
              <w:top w:w="0" w:type="dxa"/>
              <w:bottom w:w="0" w:type="dxa"/>
            </w:tcMar>
            <w:vAlign w:val="center"/>
          </w:tcPr>
          <w:p w14:paraId="3A606D6E"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118%</w:t>
            </w:r>
          </w:p>
        </w:tc>
      </w:tr>
      <w:tr w:rsidR="007C22DA" w:rsidRPr="00252CC5" w14:paraId="0717A001" w14:textId="77777777" w:rsidTr="00260F58">
        <w:trPr>
          <w:jc w:val="center"/>
        </w:trPr>
        <w:tc>
          <w:tcPr>
            <w:tcW w:w="511" w:type="pct"/>
            <w:vMerge/>
            <w:shd w:val="clear" w:color="auto" w:fill="auto"/>
            <w:tcMar>
              <w:top w:w="0" w:type="dxa"/>
              <w:bottom w:w="0" w:type="dxa"/>
            </w:tcMar>
            <w:vAlign w:val="center"/>
          </w:tcPr>
          <w:p w14:paraId="2541A6F2" w14:textId="77777777" w:rsidR="007C22DA" w:rsidRPr="00252CC5" w:rsidRDefault="007C22DA" w:rsidP="00252CC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86" w:type="pct"/>
            <w:shd w:val="clear" w:color="auto" w:fill="auto"/>
            <w:tcMar>
              <w:top w:w="0" w:type="dxa"/>
              <w:bottom w:w="0" w:type="dxa"/>
            </w:tcMar>
            <w:vAlign w:val="center"/>
          </w:tcPr>
          <w:p w14:paraId="62AE4DA1" w14:textId="35A095C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Credit debt</w:t>
            </w:r>
          </w:p>
        </w:tc>
        <w:tc>
          <w:tcPr>
            <w:tcW w:w="716" w:type="pct"/>
            <w:shd w:val="clear" w:color="auto" w:fill="auto"/>
            <w:tcMar>
              <w:top w:w="0" w:type="dxa"/>
              <w:bottom w:w="0" w:type="dxa"/>
            </w:tcMar>
            <w:vAlign w:val="center"/>
          </w:tcPr>
          <w:p w14:paraId="53E510C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102,448</w:t>
            </w:r>
          </w:p>
        </w:tc>
        <w:tc>
          <w:tcPr>
            <w:tcW w:w="729" w:type="pct"/>
            <w:shd w:val="clear" w:color="auto" w:fill="auto"/>
            <w:tcMar>
              <w:top w:w="0" w:type="dxa"/>
              <w:bottom w:w="0" w:type="dxa"/>
            </w:tcMar>
            <w:vAlign w:val="center"/>
          </w:tcPr>
          <w:p w14:paraId="15C15C5E"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88,529</w:t>
            </w:r>
          </w:p>
        </w:tc>
        <w:tc>
          <w:tcPr>
            <w:tcW w:w="553" w:type="pct"/>
            <w:shd w:val="clear" w:color="auto" w:fill="auto"/>
            <w:tcMar>
              <w:top w:w="0" w:type="dxa"/>
              <w:bottom w:w="0" w:type="dxa"/>
            </w:tcMar>
            <w:vAlign w:val="center"/>
          </w:tcPr>
          <w:p w14:paraId="36012CDC"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97,382</w:t>
            </w:r>
          </w:p>
        </w:tc>
        <w:tc>
          <w:tcPr>
            <w:tcW w:w="556" w:type="pct"/>
            <w:shd w:val="clear" w:color="auto" w:fill="auto"/>
            <w:tcMar>
              <w:top w:w="0" w:type="dxa"/>
              <w:bottom w:w="0" w:type="dxa"/>
            </w:tcMar>
            <w:vAlign w:val="center"/>
          </w:tcPr>
          <w:p w14:paraId="6622BBED"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116%</w:t>
            </w:r>
          </w:p>
        </w:tc>
        <w:tc>
          <w:tcPr>
            <w:tcW w:w="549" w:type="pct"/>
            <w:shd w:val="clear" w:color="auto" w:fill="auto"/>
            <w:tcMar>
              <w:top w:w="0" w:type="dxa"/>
              <w:bottom w:w="0" w:type="dxa"/>
            </w:tcMar>
            <w:vAlign w:val="center"/>
          </w:tcPr>
          <w:p w14:paraId="5D90624A"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105%</w:t>
            </w:r>
          </w:p>
        </w:tc>
      </w:tr>
      <w:tr w:rsidR="007C22DA" w:rsidRPr="00252CC5" w14:paraId="6945095A" w14:textId="77777777" w:rsidTr="00260F58">
        <w:trPr>
          <w:jc w:val="center"/>
        </w:trPr>
        <w:tc>
          <w:tcPr>
            <w:tcW w:w="511" w:type="pct"/>
            <w:vMerge/>
            <w:shd w:val="clear" w:color="auto" w:fill="auto"/>
            <w:tcMar>
              <w:top w:w="0" w:type="dxa"/>
              <w:bottom w:w="0" w:type="dxa"/>
            </w:tcMar>
            <w:vAlign w:val="center"/>
          </w:tcPr>
          <w:p w14:paraId="30620827" w14:textId="77777777" w:rsidR="007C22DA" w:rsidRPr="00252CC5" w:rsidRDefault="007C22DA" w:rsidP="00252CC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86" w:type="pct"/>
            <w:shd w:val="clear" w:color="auto" w:fill="auto"/>
            <w:tcMar>
              <w:top w:w="0" w:type="dxa"/>
              <w:bottom w:w="0" w:type="dxa"/>
            </w:tcMar>
            <w:vAlign w:val="center"/>
          </w:tcPr>
          <w:p w14:paraId="3BDF8614"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Customer mobilization and valuable paper issuance</w:t>
            </w:r>
          </w:p>
        </w:tc>
        <w:tc>
          <w:tcPr>
            <w:tcW w:w="716" w:type="pct"/>
            <w:shd w:val="clear" w:color="auto" w:fill="auto"/>
            <w:tcMar>
              <w:top w:w="0" w:type="dxa"/>
              <w:bottom w:w="0" w:type="dxa"/>
            </w:tcMar>
            <w:vAlign w:val="center"/>
          </w:tcPr>
          <w:p w14:paraId="092772CE"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115,654</w:t>
            </w:r>
          </w:p>
        </w:tc>
        <w:tc>
          <w:tcPr>
            <w:tcW w:w="729" w:type="pct"/>
            <w:shd w:val="clear" w:color="auto" w:fill="auto"/>
            <w:tcMar>
              <w:top w:w="0" w:type="dxa"/>
              <w:bottom w:w="0" w:type="dxa"/>
            </w:tcMar>
            <w:vAlign w:val="center"/>
          </w:tcPr>
          <w:p w14:paraId="496BEB87"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91,837</w:t>
            </w:r>
          </w:p>
        </w:tc>
        <w:tc>
          <w:tcPr>
            <w:tcW w:w="553" w:type="pct"/>
            <w:shd w:val="clear" w:color="auto" w:fill="auto"/>
            <w:tcMar>
              <w:top w:w="0" w:type="dxa"/>
              <w:bottom w:w="0" w:type="dxa"/>
            </w:tcMar>
            <w:vAlign w:val="center"/>
          </w:tcPr>
          <w:p w14:paraId="4C3777B4"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102,508</w:t>
            </w:r>
          </w:p>
        </w:tc>
        <w:tc>
          <w:tcPr>
            <w:tcW w:w="556" w:type="pct"/>
            <w:shd w:val="clear" w:color="auto" w:fill="auto"/>
            <w:tcMar>
              <w:top w:w="0" w:type="dxa"/>
              <w:bottom w:w="0" w:type="dxa"/>
            </w:tcMar>
            <w:vAlign w:val="center"/>
          </w:tcPr>
          <w:p w14:paraId="06F8102E"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126%</w:t>
            </w:r>
          </w:p>
        </w:tc>
        <w:tc>
          <w:tcPr>
            <w:tcW w:w="549" w:type="pct"/>
            <w:shd w:val="clear" w:color="auto" w:fill="auto"/>
            <w:tcMar>
              <w:top w:w="0" w:type="dxa"/>
              <w:bottom w:w="0" w:type="dxa"/>
            </w:tcMar>
            <w:vAlign w:val="center"/>
          </w:tcPr>
          <w:p w14:paraId="75917BBD"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113%</w:t>
            </w:r>
          </w:p>
        </w:tc>
      </w:tr>
      <w:tr w:rsidR="007C22DA" w:rsidRPr="00252CC5" w14:paraId="1431D932" w14:textId="77777777" w:rsidTr="00260F58">
        <w:trPr>
          <w:jc w:val="center"/>
        </w:trPr>
        <w:tc>
          <w:tcPr>
            <w:tcW w:w="511" w:type="pct"/>
            <w:vMerge w:val="restart"/>
            <w:shd w:val="clear" w:color="auto" w:fill="auto"/>
            <w:tcMar>
              <w:top w:w="0" w:type="dxa"/>
              <w:bottom w:w="0" w:type="dxa"/>
            </w:tcMar>
            <w:vAlign w:val="center"/>
          </w:tcPr>
          <w:p w14:paraId="1884C01A"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Effective</w:t>
            </w:r>
          </w:p>
        </w:tc>
        <w:tc>
          <w:tcPr>
            <w:tcW w:w="1386" w:type="pct"/>
            <w:shd w:val="clear" w:color="auto" w:fill="auto"/>
            <w:tcMar>
              <w:top w:w="0" w:type="dxa"/>
              <w:bottom w:w="0" w:type="dxa"/>
            </w:tcMar>
            <w:vAlign w:val="center"/>
          </w:tcPr>
          <w:p w14:paraId="37CA6955"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Profit before tax</w:t>
            </w:r>
          </w:p>
        </w:tc>
        <w:tc>
          <w:tcPr>
            <w:tcW w:w="716" w:type="pct"/>
            <w:shd w:val="clear" w:color="auto" w:fill="auto"/>
            <w:tcMar>
              <w:top w:w="0" w:type="dxa"/>
              <w:bottom w:w="0" w:type="dxa"/>
            </w:tcMar>
            <w:vAlign w:val="center"/>
          </w:tcPr>
          <w:p w14:paraId="6B37AB15"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513</w:t>
            </w:r>
          </w:p>
        </w:tc>
        <w:tc>
          <w:tcPr>
            <w:tcW w:w="729" w:type="pct"/>
            <w:shd w:val="clear" w:color="auto" w:fill="auto"/>
            <w:tcMar>
              <w:top w:w="0" w:type="dxa"/>
              <w:bottom w:w="0" w:type="dxa"/>
            </w:tcMar>
            <w:vAlign w:val="center"/>
          </w:tcPr>
          <w:p w14:paraId="51AB303A"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1,686</w:t>
            </w:r>
          </w:p>
        </w:tc>
        <w:tc>
          <w:tcPr>
            <w:tcW w:w="553" w:type="pct"/>
            <w:shd w:val="clear" w:color="auto" w:fill="auto"/>
            <w:tcMar>
              <w:top w:w="0" w:type="dxa"/>
              <w:bottom w:w="0" w:type="dxa"/>
            </w:tcMar>
            <w:vAlign w:val="center"/>
          </w:tcPr>
          <w:p w14:paraId="2F65F49E"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2,826</w:t>
            </w:r>
          </w:p>
        </w:tc>
        <w:tc>
          <w:tcPr>
            <w:tcW w:w="556" w:type="pct"/>
            <w:shd w:val="clear" w:color="auto" w:fill="auto"/>
            <w:tcMar>
              <w:top w:w="0" w:type="dxa"/>
              <w:bottom w:w="0" w:type="dxa"/>
            </w:tcMar>
            <w:vAlign w:val="center"/>
          </w:tcPr>
          <w:p w14:paraId="7566192D"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30%</w:t>
            </w:r>
          </w:p>
        </w:tc>
        <w:tc>
          <w:tcPr>
            <w:tcW w:w="549" w:type="pct"/>
            <w:shd w:val="clear" w:color="auto" w:fill="auto"/>
            <w:tcMar>
              <w:top w:w="0" w:type="dxa"/>
              <w:bottom w:w="0" w:type="dxa"/>
            </w:tcMar>
            <w:vAlign w:val="center"/>
          </w:tcPr>
          <w:p w14:paraId="68E0D3FF"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18%</w:t>
            </w:r>
          </w:p>
        </w:tc>
      </w:tr>
      <w:tr w:rsidR="007C22DA" w:rsidRPr="00252CC5" w14:paraId="6B58377F" w14:textId="77777777" w:rsidTr="00260F58">
        <w:trPr>
          <w:jc w:val="center"/>
        </w:trPr>
        <w:tc>
          <w:tcPr>
            <w:tcW w:w="511" w:type="pct"/>
            <w:vMerge/>
            <w:shd w:val="clear" w:color="auto" w:fill="auto"/>
            <w:tcMar>
              <w:top w:w="0" w:type="dxa"/>
              <w:bottom w:w="0" w:type="dxa"/>
            </w:tcMar>
            <w:vAlign w:val="center"/>
          </w:tcPr>
          <w:p w14:paraId="57661ACB" w14:textId="77777777" w:rsidR="007C22DA" w:rsidRPr="00252CC5" w:rsidRDefault="007C22DA" w:rsidP="00252CC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86" w:type="pct"/>
            <w:shd w:val="clear" w:color="auto" w:fill="auto"/>
            <w:tcMar>
              <w:top w:w="0" w:type="dxa"/>
              <w:bottom w:w="0" w:type="dxa"/>
            </w:tcMar>
            <w:vAlign w:val="center"/>
          </w:tcPr>
          <w:p w14:paraId="031ED077"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Rate of service fees and guarantees/total income</w:t>
            </w:r>
          </w:p>
        </w:tc>
        <w:tc>
          <w:tcPr>
            <w:tcW w:w="716" w:type="pct"/>
            <w:shd w:val="clear" w:color="auto" w:fill="auto"/>
            <w:tcMar>
              <w:top w:w="0" w:type="dxa"/>
              <w:bottom w:w="0" w:type="dxa"/>
            </w:tcMar>
            <w:vAlign w:val="center"/>
          </w:tcPr>
          <w:p w14:paraId="50301C3A"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20.35%</w:t>
            </w:r>
          </w:p>
        </w:tc>
        <w:tc>
          <w:tcPr>
            <w:tcW w:w="729" w:type="pct"/>
            <w:shd w:val="clear" w:color="auto" w:fill="auto"/>
            <w:tcMar>
              <w:top w:w="0" w:type="dxa"/>
              <w:bottom w:w="0" w:type="dxa"/>
            </w:tcMar>
            <w:vAlign w:val="center"/>
          </w:tcPr>
          <w:p w14:paraId="60B7C359"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5.49%</w:t>
            </w:r>
          </w:p>
        </w:tc>
        <w:tc>
          <w:tcPr>
            <w:tcW w:w="553" w:type="pct"/>
            <w:shd w:val="clear" w:color="auto" w:fill="auto"/>
            <w:tcMar>
              <w:top w:w="0" w:type="dxa"/>
              <w:bottom w:w="0" w:type="dxa"/>
            </w:tcMar>
            <w:vAlign w:val="center"/>
          </w:tcPr>
          <w:p w14:paraId="04CE1BDB"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18.36%</w:t>
            </w:r>
          </w:p>
        </w:tc>
        <w:tc>
          <w:tcPr>
            <w:tcW w:w="556" w:type="pct"/>
            <w:shd w:val="clear" w:color="auto" w:fill="auto"/>
            <w:tcMar>
              <w:top w:w="0" w:type="dxa"/>
              <w:bottom w:w="0" w:type="dxa"/>
            </w:tcMar>
            <w:vAlign w:val="center"/>
          </w:tcPr>
          <w:p w14:paraId="720F50F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+14.9%</w:t>
            </w:r>
          </w:p>
        </w:tc>
        <w:tc>
          <w:tcPr>
            <w:tcW w:w="549" w:type="pct"/>
            <w:shd w:val="clear" w:color="auto" w:fill="auto"/>
            <w:tcMar>
              <w:top w:w="0" w:type="dxa"/>
              <w:bottom w:w="0" w:type="dxa"/>
            </w:tcMar>
            <w:vAlign w:val="center"/>
          </w:tcPr>
          <w:p w14:paraId="50A1D43E"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w:t>
            </w:r>
          </w:p>
        </w:tc>
      </w:tr>
      <w:tr w:rsidR="007C22DA" w:rsidRPr="00252CC5" w14:paraId="572CF239" w14:textId="77777777" w:rsidTr="00260F58">
        <w:trPr>
          <w:jc w:val="center"/>
        </w:trPr>
        <w:tc>
          <w:tcPr>
            <w:tcW w:w="511" w:type="pct"/>
            <w:vMerge w:val="restart"/>
            <w:shd w:val="clear" w:color="auto" w:fill="auto"/>
            <w:tcMar>
              <w:top w:w="0" w:type="dxa"/>
              <w:bottom w:w="0" w:type="dxa"/>
            </w:tcMar>
            <w:vAlign w:val="center"/>
          </w:tcPr>
          <w:p w14:paraId="3255EF56"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Quality</w:t>
            </w:r>
          </w:p>
        </w:tc>
        <w:tc>
          <w:tcPr>
            <w:tcW w:w="1386" w:type="pct"/>
            <w:shd w:val="clear" w:color="auto" w:fill="auto"/>
            <w:tcMar>
              <w:top w:w="0" w:type="dxa"/>
              <w:bottom w:w="0" w:type="dxa"/>
            </w:tcMar>
            <w:vAlign w:val="center"/>
          </w:tcPr>
          <w:p w14:paraId="25CB74CF"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NPL</w:t>
            </w:r>
          </w:p>
        </w:tc>
        <w:tc>
          <w:tcPr>
            <w:tcW w:w="716" w:type="pct"/>
            <w:shd w:val="clear" w:color="auto" w:fill="auto"/>
            <w:tcMar>
              <w:top w:w="0" w:type="dxa"/>
              <w:bottom w:w="0" w:type="dxa"/>
            </w:tcMar>
            <w:vAlign w:val="center"/>
          </w:tcPr>
          <w:p w14:paraId="094CF661"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2.17%</w:t>
            </w:r>
          </w:p>
        </w:tc>
        <w:tc>
          <w:tcPr>
            <w:tcW w:w="729" w:type="pct"/>
            <w:shd w:val="clear" w:color="auto" w:fill="auto"/>
            <w:tcMar>
              <w:top w:w="0" w:type="dxa"/>
              <w:bottom w:w="0" w:type="dxa"/>
            </w:tcMar>
            <w:vAlign w:val="center"/>
          </w:tcPr>
          <w:p w14:paraId="68949E29"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2.18%</w:t>
            </w:r>
          </w:p>
        </w:tc>
        <w:tc>
          <w:tcPr>
            <w:tcW w:w="553" w:type="pct"/>
            <w:shd w:val="clear" w:color="auto" w:fill="auto"/>
            <w:tcMar>
              <w:top w:w="0" w:type="dxa"/>
              <w:bottom w:w="0" w:type="dxa"/>
            </w:tcMar>
            <w:vAlign w:val="center"/>
          </w:tcPr>
          <w:p w14:paraId="28846A34"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&lt;3%</w:t>
            </w:r>
          </w:p>
        </w:tc>
        <w:tc>
          <w:tcPr>
            <w:tcW w:w="556" w:type="pct"/>
            <w:shd w:val="clear" w:color="auto" w:fill="auto"/>
            <w:tcMar>
              <w:top w:w="0" w:type="dxa"/>
              <w:bottom w:w="0" w:type="dxa"/>
            </w:tcMar>
            <w:vAlign w:val="center"/>
          </w:tcPr>
          <w:p w14:paraId="7AEB288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-0.01%</w:t>
            </w:r>
          </w:p>
        </w:tc>
        <w:tc>
          <w:tcPr>
            <w:tcW w:w="549" w:type="pct"/>
            <w:shd w:val="clear" w:color="auto" w:fill="auto"/>
            <w:tcMar>
              <w:top w:w="0" w:type="dxa"/>
              <w:bottom w:w="0" w:type="dxa"/>
            </w:tcMar>
            <w:vAlign w:val="center"/>
          </w:tcPr>
          <w:p w14:paraId="2A7EA281"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r>
      <w:tr w:rsidR="007C22DA" w:rsidRPr="00252CC5" w14:paraId="3D187F14" w14:textId="77777777" w:rsidTr="00260F58">
        <w:trPr>
          <w:jc w:val="center"/>
        </w:trPr>
        <w:tc>
          <w:tcPr>
            <w:tcW w:w="511" w:type="pct"/>
            <w:vMerge/>
            <w:shd w:val="clear" w:color="auto" w:fill="auto"/>
            <w:tcMar>
              <w:top w:w="0" w:type="dxa"/>
              <w:bottom w:w="0" w:type="dxa"/>
            </w:tcMar>
            <w:vAlign w:val="center"/>
          </w:tcPr>
          <w:p w14:paraId="725559DC" w14:textId="77777777" w:rsidR="007C22DA" w:rsidRPr="00252CC5" w:rsidRDefault="007C22DA" w:rsidP="00252CC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86" w:type="pct"/>
            <w:shd w:val="clear" w:color="auto" w:fill="auto"/>
            <w:tcMar>
              <w:top w:w="0" w:type="dxa"/>
              <w:bottom w:w="0" w:type="dxa"/>
            </w:tcMar>
            <w:vAlign w:val="center"/>
          </w:tcPr>
          <w:p w14:paraId="4F652F01"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Bad debt coverage rate</w:t>
            </w:r>
          </w:p>
        </w:tc>
        <w:tc>
          <w:tcPr>
            <w:tcW w:w="716" w:type="pct"/>
            <w:shd w:val="clear" w:color="auto" w:fill="auto"/>
            <w:tcMar>
              <w:top w:w="0" w:type="dxa"/>
              <w:bottom w:w="0" w:type="dxa"/>
            </w:tcMar>
            <w:vAlign w:val="center"/>
          </w:tcPr>
          <w:p w14:paraId="77C90A5C"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46.2%</w:t>
            </w:r>
          </w:p>
        </w:tc>
        <w:tc>
          <w:tcPr>
            <w:tcW w:w="729" w:type="pct"/>
            <w:shd w:val="clear" w:color="auto" w:fill="auto"/>
            <w:tcMar>
              <w:top w:w="0" w:type="dxa"/>
              <w:bottom w:w="0" w:type="dxa"/>
            </w:tcMar>
            <w:vAlign w:val="center"/>
          </w:tcPr>
          <w:p w14:paraId="769F52D2"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45.4%</w:t>
            </w:r>
          </w:p>
        </w:tc>
        <w:tc>
          <w:tcPr>
            <w:tcW w:w="553" w:type="pct"/>
            <w:shd w:val="clear" w:color="auto" w:fill="auto"/>
            <w:tcMar>
              <w:top w:w="0" w:type="dxa"/>
              <w:bottom w:w="0" w:type="dxa"/>
            </w:tcMar>
            <w:vAlign w:val="center"/>
          </w:tcPr>
          <w:p w14:paraId="5939359A"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556" w:type="pct"/>
            <w:shd w:val="clear" w:color="auto" w:fill="auto"/>
            <w:tcMar>
              <w:top w:w="0" w:type="dxa"/>
              <w:bottom w:w="0" w:type="dxa"/>
            </w:tcMar>
            <w:vAlign w:val="center"/>
          </w:tcPr>
          <w:p w14:paraId="02CA43C5"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+0.8%</w:t>
            </w:r>
          </w:p>
        </w:tc>
        <w:tc>
          <w:tcPr>
            <w:tcW w:w="549" w:type="pct"/>
            <w:shd w:val="clear" w:color="auto" w:fill="auto"/>
            <w:tcMar>
              <w:top w:w="0" w:type="dxa"/>
              <w:bottom w:w="0" w:type="dxa"/>
            </w:tcMar>
            <w:vAlign w:val="center"/>
          </w:tcPr>
          <w:p w14:paraId="2496827B"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r>
      <w:tr w:rsidR="007C22DA" w:rsidRPr="00252CC5" w14:paraId="57138534" w14:textId="77777777" w:rsidTr="00260F58">
        <w:trPr>
          <w:jc w:val="center"/>
        </w:trPr>
        <w:tc>
          <w:tcPr>
            <w:tcW w:w="511" w:type="pct"/>
            <w:vMerge/>
            <w:shd w:val="clear" w:color="auto" w:fill="auto"/>
            <w:tcMar>
              <w:top w:w="0" w:type="dxa"/>
              <w:bottom w:w="0" w:type="dxa"/>
            </w:tcMar>
            <w:vAlign w:val="center"/>
          </w:tcPr>
          <w:p w14:paraId="6FCFFD4D" w14:textId="77777777" w:rsidR="007C22DA" w:rsidRPr="00252CC5" w:rsidRDefault="007C22DA" w:rsidP="00252CC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86" w:type="pct"/>
            <w:shd w:val="clear" w:color="auto" w:fill="auto"/>
            <w:tcMar>
              <w:top w:w="0" w:type="dxa"/>
              <w:bottom w:w="0" w:type="dxa"/>
            </w:tcMar>
            <w:vAlign w:val="center"/>
          </w:tcPr>
          <w:p w14:paraId="1935676A"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CAR:</w:t>
            </w:r>
          </w:p>
        </w:tc>
        <w:tc>
          <w:tcPr>
            <w:tcW w:w="716" w:type="pct"/>
            <w:shd w:val="clear" w:color="auto" w:fill="auto"/>
            <w:tcMar>
              <w:top w:w="0" w:type="dxa"/>
              <w:bottom w:w="0" w:type="dxa"/>
            </w:tcMar>
            <w:vAlign w:val="center"/>
          </w:tcPr>
          <w:p w14:paraId="30CD0B7A"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11.07%</w:t>
            </w:r>
          </w:p>
        </w:tc>
        <w:tc>
          <w:tcPr>
            <w:tcW w:w="729" w:type="pct"/>
            <w:shd w:val="clear" w:color="auto" w:fill="auto"/>
            <w:tcMar>
              <w:top w:w="0" w:type="dxa"/>
              <w:bottom w:w="0" w:type="dxa"/>
            </w:tcMar>
            <w:vAlign w:val="center"/>
          </w:tcPr>
          <w:p w14:paraId="453E031D"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11.63%</w:t>
            </w:r>
          </w:p>
        </w:tc>
        <w:tc>
          <w:tcPr>
            <w:tcW w:w="553" w:type="pct"/>
            <w:shd w:val="clear" w:color="auto" w:fill="auto"/>
            <w:tcMar>
              <w:top w:w="0" w:type="dxa"/>
              <w:bottom w:w="0" w:type="dxa"/>
            </w:tcMar>
            <w:vAlign w:val="center"/>
          </w:tcPr>
          <w:p w14:paraId="770A476C"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&gt;8%</w:t>
            </w:r>
          </w:p>
        </w:tc>
        <w:tc>
          <w:tcPr>
            <w:tcW w:w="556" w:type="pct"/>
            <w:shd w:val="clear" w:color="auto" w:fill="auto"/>
            <w:tcMar>
              <w:top w:w="0" w:type="dxa"/>
              <w:bottom w:w="0" w:type="dxa"/>
            </w:tcMar>
            <w:vAlign w:val="center"/>
          </w:tcPr>
          <w:p w14:paraId="6062FCE8"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-0.56%</w:t>
            </w:r>
          </w:p>
        </w:tc>
        <w:tc>
          <w:tcPr>
            <w:tcW w:w="549" w:type="pct"/>
            <w:shd w:val="clear" w:color="auto" w:fill="auto"/>
            <w:tcMar>
              <w:top w:w="0" w:type="dxa"/>
              <w:bottom w:w="0" w:type="dxa"/>
            </w:tcMar>
            <w:vAlign w:val="center"/>
          </w:tcPr>
          <w:p w14:paraId="508D4817"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r>
      <w:tr w:rsidR="007C22DA" w:rsidRPr="00252CC5" w14:paraId="2912CBFA" w14:textId="77777777" w:rsidTr="00260F58">
        <w:trPr>
          <w:jc w:val="center"/>
        </w:trPr>
        <w:tc>
          <w:tcPr>
            <w:tcW w:w="511" w:type="pct"/>
            <w:vMerge/>
            <w:shd w:val="clear" w:color="auto" w:fill="auto"/>
            <w:tcMar>
              <w:top w:w="0" w:type="dxa"/>
              <w:bottom w:w="0" w:type="dxa"/>
            </w:tcMar>
            <w:vAlign w:val="center"/>
          </w:tcPr>
          <w:p w14:paraId="22E9F67B" w14:textId="77777777" w:rsidR="007C22DA" w:rsidRPr="00252CC5" w:rsidRDefault="007C22DA" w:rsidP="00252CC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86" w:type="pct"/>
            <w:shd w:val="clear" w:color="auto" w:fill="auto"/>
            <w:tcMar>
              <w:top w:w="0" w:type="dxa"/>
              <w:bottom w:w="0" w:type="dxa"/>
            </w:tcMar>
            <w:vAlign w:val="center"/>
          </w:tcPr>
          <w:p w14:paraId="04A19751"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LDR</w:t>
            </w:r>
          </w:p>
        </w:tc>
        <w:tc>
          <w:tcPr>
            <w:tcW w:w="716" w:type="pct"/>
            <w:shd w:val="clear" w:color="auto" w:fill="auto"/>
            <w:tcMar>
              <w:top w:w="0" w:type="dxa"/>
              <w:bottom w:w="0" w:type="dxa"/>
            </w:tcMar>
            <w:vAlign w:val="center"/>
          </w:tcPr>
          <w:p w14:paraId="4636AE9B"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68.39%</w:t>
            </w:r>
          </w:p>
        </w:tc>
        <w:tc>
          <w:tcPr>
            <w:tcW w:w="729" w:type="pct"/>
            <w:shd w:val="clear" w:color="auto" w:fill="auto"/>
            <w:tcMar>
              <w:top w:w="0" w:type="dxa"/>
              <w:bottom w:w="0" w:type="dxa"/>
            </w:tcMar>
            <w:vAlign w:val="center"/>
          </w:tcPr>
          <w:p w14:paraId="3AD54248"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72.26%</w:t>
            </w:r>
          </w:p>
        </w:tc>
        <w:tc>
          <w:tcPr>
            <w:tcW w:w="553" w:type="pct"/>
            <w:shd w:val="clear" w:color="auto" w:fill="auto"/>
            <w:tcMar>
              <w:top w:w="0" w:type="dxa"/>
              <w:bottom w:w="0" w:type="dxa"/>
            </w:tcMar>
            <w:vAlign w:val="center"/>
          </w:tcPr>
          <w:p w14:paraId="225C930F"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&lt;85%</w:t>
            </w:r>
          </w:p>
        </w:tc>
        <w:tc>
          <w:tcPr>
            <w:tcW w:w="556" w:type="pct"/>
            <w:shd w:val="clear" w:color="auto" w:fill="auto"/>
            <w:tcMar>
              <w:top w:w="0" w:type="dxa"/>
              <w:bottom w:w="0" w:type="dxa"/>
            </w:tcMar>
            <w:vAlign w:val="center"/>
          </w:tcPr>
          <w:p w14:paraId="54826430"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-3.87%</w:t>
            </w:r>
          </w:p>
        </w:tc>
        <w:tc>
          <w:tcPr>
            <w:tcW w:w="549" w:type="pct"/>
            <w:shd w:val="clear" w:color="auto" w:fill="auto"/>
            <w:tcMar>
              <w:top w:w="0" w:type="dxa"/>
              <w:bottom w:w="0" w:type="dxa"/>
            </w:tcMar>
            <w:vAlign w:val="center"/>
          </w:tcPr>
          <w:p w14:paraId="294A790E"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r>
      <w:tr w:rsidR="007C22DA" w:rsidRPr="00252CC5" w14:paraId="0BA8C5E3" w14:textId="77777777" w:rsidTr="00260F58">
        <w:trPr>
          <w:jc w:val="center"/>
        </w:trPr>
        <w:tc>
          <w:tcPr>
            <w:tcW w:w="511" w:type="pct"/>
            <w:vMerge w:val="restart"/>
            <w:shd w:val="clear" w:color="auto" w:fill="auto"/>
            <w:tcMar>
              <w:top w:w="0" w:type="dxa"/>
              <w:bottom w:w="0" w:type="dxa"/>
            </w:tcMar>
            <w:vAlign w:val="center"/>
          </w:tcPr>
          <w:p w14:paraId="51281102"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Customer</w:t>
            </w:r>
          </w:p>
        </w:tc>
        <w:tc>
          <w:tcPr>
            <w:tcW w:w="1386" w:type="pct"/>
            <w:shd w:val="clear" w:color="auto" w:fill="auto"/>
            <w:tcMar>
              <w:top w:w="0" w:type="dxa"/>
              <w:bottom w:w="0" w:type="dxa"/>
            </w:tcMar>
            <w:vAlign w:val="center"/>
          </w:tcPr>
          <w:p w14:paraId="092155BE" w14:textId="3CDA2B85"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xml:space="preserve">Number of </w:t>
            </w:r>
            <w:r w:rsidR="00D43B6F" w:rsidRPr="00252CC5">
              <w:rPr>
                <w:rFonts w:ascii="Arial" w:hAnsi="Arial" w:cs="Arial"/>
                <w:color w:val="010000"/>
                <w:sz w:val="20"/>
                <w:szCs w:val="20"/>
              </w:rPr>
              <w:t>business customers</w:t>
            </w:r>
            <w:r w:rsidRPr="00252CC5">
              <w:rPr>
                <w:rFonts w:ascii="Arial" w:hAnsi="Arial" w:cs="Arial"/>
                <w:color w:val="010000"/>
                <w:sz w:val="20"/>
                <w:szCs w:val="20"/>
              </w:rPr>
              <w:t xml:space="preserve"> and SMEs</w:t>
            </w:r>
          </w:p>
        </w:tc>
        <w:tc>
          <w:tcPr>
            <w:tcW w:w="716" w:type="pct"/>
            <w:shd w:val="clear" w:color="auto" w:fill="auto"/>
            <w:tcMar>
              <w:top w:w="0" w:type="dxa"/>
              <w:bottom w:w="0" w:type="dxa"/>
            </w:tcMar>
            <w:vAlign w:val="center"/>
          </w:tcPr>
          <w:p w14:paraId="5EE30F98"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2,117,097</w:t>
            </w:r>
          </w:p>
        </w:tc>
        <w:tc>
          <w:tcPr>
            <w:tcW w:w="729" w:type="pct"/>
            <w:shd w:val="clear" w:color="auto" w:fill="auto"/>
            <w:tcMar>
              <w:top w:w="0" w:type="dxa"/>
              <w:bottom w:w="0" w:type="dxa"/>
            </w:tcMar>
            <w:vAlign w:val="center"/>
          </w:tcPr>
          <w:p w14:paraId="47DA358D"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1,730,951</w:t>
            </w:r>
          </w:p>
        </w:tc>
        <w:tc>
          <w:tcPr>
            <w:tcW w:w="553" w:type="pct"/>
            <w:shd w:val="clear" w:color="auto" w:fill="auto"/>
            <w:tcMar>
              <w:top w:w="0" w:type="dxa"/>
              <w:bottom w:w="0" w:type="dxa"/>
            </w:tcMar>
            <w:vAlign w:val="center"/>
          </w:tcPr>
          <w:p w14:paraId="19453B51"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556" w:type="pct"/>
            <w:shd w:val="clear" w:color="auto" w:fill="auto"/>
            <w:tcMar>
              <w:top w:w="0" w:type="dxa"/>
              <w:bottom w:w="0" w:type="dxa"/>
            </w:tcMar>
            <w:vAlign w:val="center"/>
          </w:tcPr>
          <w:p w14:paraId="100144C8"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122%</w:t>
            </w:r>
          </w:p>
        </w:tc>
        <w:tc>
          <w:tcPr>
            <w:tcW w:w="549" w:type="pct"/>
            <w:shd w:val="clear" w:color="auto" w:fill="auto"/>
            <w:tcMar>
              <w:top w:w="0" w:type="dxa"/>
              <w:bottom w:w="0" w:type="dxa"/>
            </w:tcMar>
            <w:vAlign w:val="center"/>
          </w:tcPr>
          <w:p w14:paraId="1BB86288"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r>
      <w:tr w:rsidR="007C22DA" w:rsidRPr="00252CC5" w14:paraId="66EF6E61" w14:textId="77777777" w:rsidTr="00260F58">
        <w:trPr>
          <w:jc w:val="center"/>
        </w:trPr>
        <w:tc>
          <w:tcPr>
            <w:tcW w:w="511" w:type="pct"/>
            <w:vMerge/>
            <w:shd w:val="clear" w:color="auto" w:fill="auto"/>
            <w:tcMar>
              <w:top w:w="0" w:type="dxa"/>
              <w:bottom w:w="0" w:type="dxa"/>
            </w:tcMar>
            <w:vAlign w:val="center"/>
          </w:tcPr>
          <w:p w14:paraId="64BC5E12" w14:textId="77777777" w:rsidR="007C22DA" w:rsidRPr="00252CC5" w:rsidRDefault="007C22DA" w:rsidP="00252CC5">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86" w:type="pct"/>
            <w:shd w:val="clear" w:color="auto" w:fill="auto"/>
            <w:tcMar>
              <w:top w:w="0" w:type="dxa"/>
              <w:bottom w:w="0" w:type="dxa"/>
            </w:tcMar>
            <w:vAlign w:val="center"/>
          </w:tcPr>
          <w:p w14:paraId="2971B2C1"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Number of transactions on digital channel</w:t>
            </w:r>
          </w:p>
        </w:tc>
        <w:tc>
          <w:tcPr>
            <w:tcW w:w="716" w:type="pct"/>
            <w:shd w:val="clear" w:color="auto" w:fill="auto"/>
            <w:tcMar>
              <w:top w:w="0" w:type="dxa"/>
              <w:bottom w:w="0" w:type="dxa"/>
            </w:tcMar>
            <w:vAlign w:val="center"/>
          </w:tcPr>
          <w:p w14:paraId="09E36444"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33,275,644</w:t>
            </w:r>
          </w:p>
        </w:tc>
        <w:tc>
          <w:tcPr>
            <w:tcW w:w="729" w:type="pct"/>
            <w:shd w:val="clear" w:color="auto" w:fill="auto"/>
            <w:tcMar>
              <w:top w:w="0" w:type="dxa"/>
              <w:bottom w:w="0" w:type="dxa"/>
            </w:tcMar>
            <w:vAlign w:val="center"/>
          </w:tcPr>
          <w:p w14:paraId="738A497C"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20,394,600</w:t>
            </w:r>
          </w:p>
        </w:tc>
        <w:tc>
          <w:tcPr>
            <w:tcW w:w="553" w:type="pct"/>
            <w:shd w:val="clear" w:color="auto" w:fill="auto"/>
            <w:tcMar>
              <w:top w:w="0" w:type="dxa"/>
              <w:bottom w:w="0" w:type="dxa"/>
            </w:tcMar>
            <w:vAlign w:val="center"/>
          </w:tcPr>
          <w:p w14:paraId="1B321083"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556" w:type="pct"/>
            <w:shd w:val="clear" w:color="auto" w:fill="auto"/>
            <w:tcMar>
              <w:top w:w="0" w:type="dxa"/>
              <w:bottom w:w="0" w:type="dxa"/>
            </w:tcMar>
            <w:vAlign w:val="center"/>
          </w:tcPr>
          <w:p w14:paraId="6AB02BCF"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163%</w:t>
            </w:r>
          </w:p>
        </w:tc>
        <w:tc>
          <w:tcPr>
            <w:tcW w:w="549" w:type="pct"/>
            <w:shd w:val="clear" w:color="auto" w:fill="auto"/>
            <w:tcMar>
              <w:top w:w="0" w:type="dxa"/>
              <w:bottom w:w="0" w:type="dxa"/>
            </w:tcMar>
            <w:vAlign w:val="center"/>
          </w:tcPr>
          <w:p w14:paraId="038D8336"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r>
    </w:tbl>
    <w:p w14:paraId="0A6A6F2F" w14:textId="77777777" w:rsidR="007C22DA" w:rsidRPr="00252CC5" w:rsidRDefault="008672FD" w:rsidP="00252CC5">
      <w:pPr>
        <w:numPr>
          <w:ilvl w:val="0"/>
          <w:numId w:val="2"/>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Approve the business plan 2024, in which, the profit before tax target in 2024 is VND 1,000 billion</w:t>
      </w:r>
    </w:p>
    <w:p w14:paraId="30381FCA"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Unit: Billion VND</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2839"/>
        <w:gridCol w:w="1852"/>
        <w:gridCol w:w="1457"/>
        <w:gridCol w:w="2175"/>
      </w:tblGrid>
      <w:tr w:rsidR="007C22DA" w:rsidRPr="00252CC5" w14:paraId="46833C91" w14:textId="77777777" w:rsidTr="00260F58">
        <w:trPr>
          <w:jc w:val="center"/>
        </w:trPr>
        <w:tc>
          <w:tcPr>
            <w:tcW w:w="385" w:type="pct"/>
            <w:shd w:val="clear" w:color="auto" w:fill="auto"/>
            <w:tcMar>
              <w:top w:w="0" w:type="dxa"/>
              <w:bottom w:w="0" w:type="dxa"/>
            </w:tcMar>
            <w:vAlign w:val="center"/>
          </w:tcPr>
          <w:p w14:paraId="74284752"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No.</w:t>
            </w:r>
          </w:p>
        </w:tc>
        <w:tc>
          <w:tcPr>
            <w:tcW w:w="1574" w:type="pct"/>
            <w:shd w:val="clear" w:color="auto" w:fill="auto"/>
            <w:tcMar>
              <w:top w:w="0" w:type="dxa"/>
              <w:bottom w:w="0" w:type="dxa"/>
            </w:tcMar>
            <w:vAlign w:val="center"/>
          </w:tcPr>
          <w:p w14:paraId="484504CF"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Target</w:t>
            </w:r>
          </w:p>
        </w:tc>
        <w:tc>
          <w:tcPr>
            <w:tcW w:w="1027" w:type="pct"/>
            <w:shd w:val="clear" w:color="auto" w:fill="auto"/>
            <w:tcMar>
              <w:top w:w="0" w:type="dxa"/>
              <w:bottom w:w="0" w:type="dxa"/>
            </w:tcMar>
            <w:vAlign w:val="center"/>
          </w:tcPr>
          <w:p w14:paraId="1AD641F5"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2023 Results</w:t>
            </w:r>
          </w:p>
        </w:tc>
        <w:tc>
          <w:tcPr>
            <w:tcW w:w="808" w:type="pct"/>
            <w:shd w:val="clear" w:color="auto" w:fill="auto"/>
            <w:tcMar>
              <w:top w:w="0" w:type="dxa"/>
              <w:bottom w:w="0" w:type="dxa"/>
            </w:tcMar>
            <w:vAlign w:val="center"/>
          </w:tcPr>
          <w:p w14:paraId="28AD15CB" w14:textId="4839EF2F"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2024 Plan</w:t>
            </w:r>
          </w:p>
        </w:tc>
        <w:tc>
          <w:tcPr>
            <w:tcW w:w="1206" w:type="pct"/>
            <w:shd w:val="clear" w:color="auto" w:fill="auto"/>
            <w:tcMar>
              <w:top w:w="0" w:type="dxa"/>
              <w:bottom w:w="0" w:type="dxa"/>
            </w:tcMar>
            <w:vAlign w:val="center"/>
          </w:tcPr>
          <w:p w14:paraId="1329D2A8"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2024 Plan/2023 Results (%)</w:t>
            </w:r>
          </w:p>
        </w:tc>
      </w:tr>
      <w:tr w:rsidR="007C22DA" w:rsidRPr="00252CC5" w14:paraId="2D3EB43E" w14:textId="77777777" w:rsidTr="00260F58">
        <w:trPr>
          <w:jc w:val="center"/>
        </w:trPr>
        <w:tc>
          <w:tcPr>
            <w:tcW w:w="385" w:type="pct"/>
            <w:shd w:val="clear" w:color="auto" w:fill="auto"/>
            <w:tcMar>
              <w:top w:w="0" w:type="dxa"/>
              <w:bottom w:w="0" w:type="dxa"/>
            </w:tcMar>
            <w:vAlign w:val="center"/>
          </w:tcPr>
          <w:p w14:paraId="33B74FBB"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w:t>
            </w:r>
          </w:p>
        </w:tc>
        <w:tc>
          <w:tcPr>
            <w:tcW w:w="1574" w:type="pct"/>
            <w:shd w:val="clear" w:color="auto" w:fill="auto"/>
            <w:tcMar>
              <w:top w:w="0" w:type="dxa"/>
              <w:bottom w:w="0" w:type="dxa"/>
            </w:tcMar>
            <w:vAlign w:val="center"/>
          </w:tcPr>
          <w:p w14:paraId="1A7A9699"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Total assets</w:t>
            </w:r>
          </w:p>
        </w:tc>
        <w:tc>
          <w:tcPr>
            <w:tcW w:w="1027" w:type="pct"/>
            <w:shd w:val="clear" w:color="auto" w:fill="auto"/>
            <w:tcMar>
              <w:top w:w="0" w:type="dxa"/>
              <w:bottom w:w="0" w:type="dxa"/>
            </w:tcMar>
            <w:vAlign w:val="center"/>
          </w:tcPr>
          <w:p w14:paraId="6BF02101"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161,977</w:t>
            </w:r>
          </w:p>
        </w:tc>
        <w:tc>
          <w:tcPr>
            <w:tcW w:w="808" w:type="pct"/>
            <w:shd w:val="clear" w:color="auto" w:fill="auto"/>
            <w:tcMar>
              <w:top w:w="0" w:type="dxa"/>
              <w:bottom w:w="0" w:type="dxa"/>
            </w:tcMar>
            <w:vAlign w:val="center"/>
          </w:tcPr>
          <w:p w14:paraId="762F10C1"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170,000</w:t>
            </w:r>
          </w:p>
        </w:tc>
        <w:tc>
          <w:tcPr>
            <w:tcW w:w="1206" w:type="pct"/>
            <w:shd w:val="clear" w:color="auto" w:fill="auto"/>
            <w:tcMar>
              <w:top w:w="0" w:type="dxa"/>
              <w:bottom w:w="0" w:type="dxa"/>
            </w:tcMar>
            <w:vAlign w:val="center"/>
          </w:tcPr>
          <w:p w14:paraId="06A2C3D0"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105%</w:t>
            </w:r>
          </w:p>
        </w:tc>
      </w:tr>
      <w:tr w:rsidR="007C22DA" w:rsidRPr="00252CC5" w14:paraId="0C1AEB85" w14:textId="77777777" w:rsidTr="00260F58">
        <w:trPr>
          <w:jc w:val="center"/>
        </w:trPr>
        <w:tc>
          <w:tcPr>
            <w:tcW w:w="385" w:type="pct"/>
            <w:shd w:val="clear" w:color="auto" w:fill="auto"/>
            <w:tcMar>
              <w:top w:w="0" w:type="dxa"/>
              <w:bottom w:w="0" w:type="dxa"/>
            </w:tcMar>
            <w:vAlign w:val="center"/>
          </w:tcPr>
          <w:p w14:paraId="59957268"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lastRenderedPageBreak/>
              <w:t>2</w:t>
            </w:r>
          </w:p>
        </w:tc>
        <w:tc>
          <w:tcPr>
            <w:tcW w:w="1574" w:type="pct"/>
            <w:shd w:val="clear" w:color="auto" w:fill="auto"/>
            <w:tcMar>
              <w:top w:w="0" w:type="dxa"/>
              <w:bottom w:w="0" w:type="dxa"/>
            </w:tcMar>
            <w:vAlign w:val="center"/>
          </w:tcPr>
          <w:p w14:paraId="5552EF59"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Mobilization from customers</w:t>
            </w:r>
          </w:p>
        </w:tc>
        <w:tc>
          <w:tcPr>
            <w:tcW w:w="1027" w:type="pct"/>
            <w:shd w:val="clear" w:color="auto" w:fill="auto"/>
            <w:tcMar>
              <w:top w:w="0" w:type="dxa"/>
              <w:bottom w:w="0" w:type="dxa"/>
            </w:tcMar>
            <w:vAlign w:val="center"/>
          </w:tcPr>
          <w:p w14:paraId="69B514ED"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100,054</w:t>
            </w:r>
          </w:p>
        </w:tc>
        <w:tc>
          <w:tcPr>
            <w:tcW w:w="808" w:type="pct"/>
            <w:shd w:val="clear" w:color="auto" w:fill="auto"/>
            <w:tcMar>
              <w:top w:w="0" w:type="dxa"/>
              <w:bottom w:w="0" w:type="dxa"/>
            </w:tcMar>
            <w:vAlign w:val="center"/>
          </w:tcPr>
          <w:p w14:paraId="62F0C201"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113,349</w:t>
            </w:r>
          </w:p>
        </w:tc>
        <w:tc>
          <w:tcPr>
            <w:tcW w:w="1206" w:type="pct"/>
            <w:shd w:val="clear" w:color="auto" w:fill="auto"/>
            <w:tcMar>
              <w:top w:w="0" w:type="dxa"/>
              <w:bottom w:w="0" w:type="dxa"/>
            </w:tcMar>
            <w:vAlign w:val="center"/>
          </w:tcPr>
          <w:p w14:paraId="494F8E82"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113%</w:t>
            </w:r>
          </w:p>
        </w:tc>
      </w:tr>
      <w:tr w:rsidR="007C22DA" w:rsidRPr="00252CC5" w14:paraId="4E821655" w14:textId="77777777" w:rsidTr="00260F58">
        <w:trPr>
          <w:jc w:val="center"/>
        </w:trPr>
        <w:tc>
          <w:tcPr>
            <w:tcW w:w="385" w:type="pct"/>
            <w:shd w:val="clear" w:color="auto" w:fill="auto"/>
            <w:tcMar>
              <w:top w:w="0" w:type="dxa"/>
              <w:bottom w:w="0" w:type="dxa"/>
            </w:tcMar>
            <w:vAlign w:val="center"/>
          </w:tcPr>
          <w:p w14:paraId="7FC9FC11"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3</w:t>
            </w:r>
          </w:p>
        </w:tc>
        <w:tc>
          <w:tcPr>
            <w:tcW w:w="1574" w:type="pct"/>
            <w:shd w:val="clear" w:color="auto" w:fill="auto"/>
            <w:tcMar>
              <w:top w:w="0" w:type="dxa"/>
              <w:bottom w:w="0" w:type="dxa"/>
            </w:tcMar>
            <w:vAlign w:val="center"/>
          </w:tcPr>
          <w:p w14:paraId="02D82592"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Credit debt (*)</w:t>
            </w:r>
          </w:p>
        </w:tc>
        <w:tc>
          <w:tcPr>
            <w:tcW w:w="1027" w:type="pct"/>
            <w:shd w:val="clear" w:color="auto" w:fill="auto"/>
            <w:tcMar>
              <w:top w:w="0" w:type="dxa"/>
              <w:bottom w:w="0" w:type="dxa"/>
            </w:tcMar>
            <w:vAlign w:val="center"/>
          </w:tcPr>
          <w:p w14:paraId="3925FC39"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102,448</w:t>
            </w:r>
          </w:p>
        </w:tc>
        <w:tc>
          <w:tcPr>
            <w:tcW w:w="808" w:type="pct"/>
            <w:shd w:val="clear" w:color="auto" w:fill="auto"/>
            <w:tcMar>
              <w:top w:w="0" w:type="dxa"/>
              <w:bottom w:w="0" w:type="dxa"/>
            </w:tcMar>
            <w:vAlign w:val="center"/>
          </w:tcPr>
          <w:p w14:paraId="0149FAAB"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116,272</w:t>
            </w:r>
          </w:p>
        </w:tc>
        <w:tc>
          <w:tcPr>
            <w:tcW w:w="1206" w:type="pct"/>
            <w:shd w:val="clear" w:color="auto" w:fill="auto"/>
            <w:tcMar>
              <w:top w:w="0" w:type="dxa"/>
              <w:bottom w:w="0" w:type="dxa"/>
            </w:tcMar>
            <w:vAlign w:val="center"/>
          </w:tcPr>
          <w:p w14:paraId="0E222214"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113%</w:t>
            </w:r>
          </w:p>
        </w:tc>
      </w:tr>
      <w:tr w:rsidR="007C22DA" w:rsidRPr="00252CC5" w14:paraId="77F76D06" w14:textId="77777777" w:rsidTr="00260F58">
        <w:trPr>
          <w:jc w:val="center"/>
        </w:trPr>
        <w:tc>
          <w:tcPr>
            <w:tcW w:w="385" w:type="pct"/>
            <w:shd w:val="clear" w:color="auto" w:fill="auto"/>
            <w:tcMar>
              <w:top w:w="0" w:type="dxa"/>
              <w:bottom w:w="0" w:type="dxa"/>
            </w:tcMar>
            <w:vAlign w:val="center"/>
          </w:tcPr>
          <w:p w14:paraId="6F9FA1A4"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4</w:t>
            </w:r>
          </w:p>
        </w:tc>
        <w:tc>
          <w:tcPr>
            <w:tcW w:w="1574" w:type="pct"/>
            <w:shd w:val="clear" w:color="auto" w:fill="auto"/>
            <w:tcMar>
              <w:top w:w="0" w:type="dxa"/>
              <w:bottom w:w="0" w:type="dxa"/>
            </w:tcMar>
            <w:vAlign w:val="center"/>
          </w:tcPr>
          <w:p w14:paraId="5A09022B"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Bad debt rate (**)</w:t>
            </w:r>
          </w:p>
        </w:tc>
        <w:tc>
          <w:tcPr>
            <w:tcW w:w="1027" w:type="pct"/>
            <w:shd w:val="clear" w:color="auto" w:fill="auto"/>
            <w:tcMar>
              <w:top w:w="0" w:type="dxa"/>
              <w:bottom w:w="0" w:type="dxa"/>
            </w:tcMar>
            <w:vAlign w:val="center"/>
          </w:tcPr>
          <w:p w14:paraId="26A5138C"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&lt;3%</w:t>
            </w:r>
          </w:p>
        </w:tc>
        <w:tc>
          <w:tcPr>
            <w:tcW w:w="808" w:type="pct"/>
            <w:shd w:val="clear" w:color="auto" w:fill="auto"/>
            <w:tcMar>
              <w:top w:w="0" w:type="dxa"/>
              <w:bottom w:w="0" w:type="dxa"/>
            </w:tcMar>
            <w:vAlign w:val="center"/>
          </w:tcPr>
          <w:p w14:paraId="25EBB93A"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&lt;3%</w:t>
            </w:r>
          </w:p>
        </w:tc>
        <w:tc>
          <w:tcPr>
            <w:tcW w:w="1206" w:type="pct"/>
            <w:shd w:val="clear" w:color="auto" w:fill="auto"/>
            <w:tcMar>
              <w:top w:w="0" w:type="dxa"/>
              <w:bottom w:w="0" w:type="dxa"/>
            </w:tcMar>
            <w:vAlign w:val="center"/>
          </w:tcPr>
          <w:p w14:paraId="5F2DB7F7"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r>
      <w:tr w:rsidR="007C22DA" w:rsidRPr="00252CC5" w14:paraId="7E8D1009" w14:textId="77777777" w:rsidTr="00260F58">
        <w:trPr>
          <w:jc w:val="center"/>
        </w:trPr>
        <w:tc>
          <w:tcPr>
            <w:tcW w:w="385" w:type="pct"/>
            <w:shd w:val="clear" w:color="auto" w:fill="auto"/>
            <w:tcMar>
              <w:top w:w="0" w:type="dxa"/>
              <w:bottom w:w="0" w:type="dxa"/>
            </w:tcMar>
            <w:vAlign w:val="center"/>
          </w:tcPr>
          <w:p w14:paraId="6A1E6767"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5</w:t>
            </w:r>
          </w:p>
        </w:tc>
        <w:tc>
          <w:tcPr>
            <w:tcW w:w="1574" w:type="pct"/>
            <w:shd w:val="clear" w:color="auto" w:fill="auto"/>
            <w:tcMar>
              <w:top w:w="0" w:type="dxa"/>
              <w:bottom w:w="0" w:type="dxa"/>
            </w:tcMar>
            <w:vAlign w:val="center"/>
          </w:tcPr>
          <w:p w14:paraId="2B71CDBC"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Rate of service fees and guarantees/total income</w:t>
            </w:r>
          </w:p>
        </w:tc>
        <w:tc>
          <w:tcPr>
            <w:tcW w:w="1027" w:type="pct"/>
            <w:shd w:val="clear" w:color="auto" w:fill="auto"/>
            <w:tcMar>
              <w:top w:w="0" w:type="dxa"/>
              <w:bottom w:w="0" w:type="dxa"/>
            </w:tcMar>
            <w:vAlign w:val="center"/>
          </w:tcPr>
          <w:p w14:paraId="47EE6DAD"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20.35%</w:t>
            </w:r>
          </w:p>
        </w:tc>
        <w:tc>
          <w:tcPr>
            <w:tcW w:w="808" w:type="pct"/>
            <w:shd w:val="clear" w:color="auto" w:fill="auto"/>
            <w:tcMar>
              <w:top w:w="0" w:type="dxa"/>
              <w:bottom w:w="0" w:type="dxa"/>
            </w:tcMar>
            <w:vAlign w:val="center"/>
          </w:tcPr>
          <w:p w14:paraId="20F2718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13.66%</w:t>
            </w:r>
          </w:p>
        </w:tc>
        <w:tc>
          <w:tcPr>
            <w:tcW w:w="1206" w:type="pct"/>
            <w:shd w:val="clear" w:color="auto" w:fill="auto"/>
            <w:tcMar>
              <w:top w:w="0" w:type="dxa"/>
              <w:bottom w:w="0" w:type="dxa"/>
            </w:tcMar>
            <w:vAlign w:val="center"/>
          </w:tcPr>
          <w:p w14:paraId="0FF9D5D5"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-6.69%</w:t>
            </w:r>
          </w:p>
        </w:tc>
      </w:tr>
      <w:tr w:rsidR="007C22DA" w:rsidRPr="00252CC5" w14:paraId="72773D07" w14:textId="77777777" w:rsidTr="00260F58">
        <w:trPr>
          <w:jc w:val="center"/>
        </w:trPr>
        <w:tc>
          <w:tcPr>
            <w:tcW w:w="385" w:type="pct"/>
            <w:shd w:val="clear" w:color="auto" w:fill="auto"/>
            <w:tcMar>
              <w:top w:w="0" w:type="dxa"/>
              <w:bottom w:w="0" w:type="dxa"/>
            </w:tcMar>
            <w:vAlign w:val="center"/>
          </w:tcPr>
          <w:p w14:paraId="04AD2A4D"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6</w:t>
            </w:r>
          </w:p>
        </w:tc>
        <w:tc>
          <w:tcPr>
            <w:tcW w:w="1574" w:type="pct"/>
            <w:shd w:val="clear" w:color="auto" w:fill="auto"/>
            <w:tcMar>
              <w:top w:w="0" w:type="dxa"/>
              <w:bottom w:w="0" w:type="dxa"/>
            </w:tcMar>
            <w:vAlign w:val="center"/>
          </w:tcPr>
          <w:p w14:paraId="023C775C"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Profit after tax</w:t>
            </w:r>
          </w:p>
        </w:tc>
        <w:tc>
          <w:tcPr>
            <w:tcW w:w="1027" w:type="pct"/>
            <w:shd w:val="clear" w:color="auto" w:fill="auto"/>
            <w:tcMar>
              <w:top w:w="0" w:type="dxa"/>
              <w:bottom w:w="0" w:type="dxa"/>
            </w:tcMar>
            <w:vAlign w:val="center"/>
          </w:tcPr>
          <w:p w14:paraId="64BBBE6A"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513</w:t>
            </w:r>
          </w:p>
        </w:tc>
        <w:tc>
          <w:tcPr>
            <w:tcW w:w="808" w:type="pct"/>
            <w:shd w:val="clear" w:color="auto" w:fill="auto"/>
            <w:tcMar>
              <w:top w:w="0" w:type="dxa"/>
              <w:bottom w:w="0" w:type="dxa"/>
            </w:tcMar>
            <w:vAlign w:val="center"/>
          </w:tcPr>
          <w:p w14:paraId="1184D8FB"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1,000</w:t>
            </w:r>
          </w:p>
        </w:tc>
        <w:tc>
          <w:tcPr>
            <w:tcW w:w="1206" w:type="pct"/>
            <w:shd w:val="clear" w:color="auto" w:fill="auto"/>
            <w:tcMar>
              <w:top w:w="0" w:type="dxa"/>
              <w:bottom w:w="0" w:type="dxa"/>
            </w:tcMar>
            <w:vAlign w:val="center"/>
          </w:tcPr>
          <w:p w14:paraId="3084D1F4"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195%</w:t>
            </w:r>
          </w:p>
        </w:tc>
      </w:tr>
    </w:tbl>
    <w:p w14:paraId="636D2901"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including outstanding loans to economic organizations and individuals, investment in corporate bonds; adjusted according to the credit room allowed by the State Bank from time to time</w:t>
      </w:r>
    </w:p>
    <w:p w14:paraId="6DCB081E" w14:textId="714F60C0"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according to Circular No. 11/2021/TT-NHNN dated July 30, 2021</w:t>
      </w:r>
      <w:r w:rsidR="00252CC5">
        <w:rPr>
          <w:rFonts w:ascii="Arial" w:hAnsi="Arial" w:cs="Arial"/>
          <w:color w:val="010000"/>
          <w:sz w:val="20"/>
          <w:szCs w:val="20"/>
        </w:rPr>
        <w:t>,</w:t>
      </w:r>
      <w:r w:rsidRPr="00252CC5">
        <w:rPr>
          <w:rFonts w:ascii="Arial" w:hAnsi="Arial" w:cs="Arial"/>
          <w:color w:val="010000"/>
          <w:sz w:val="20"/>
          <w:szCs w:val="20"/>
        </w:rPr>
        <w:t xml:space="preserve"> of the State Bank</w:t>
      </w:r>
    </w:p>
    <w:p w14:paraId="2103514C" w14:textId="77777777" w:rsidR="007C22DA" w:rsidRPr="00252CC5" w:rsidRDefault="008672FD" w:rsidP="00252CC5">
      <w:pPr>
        <w:numPr>
          <w:ilvl w:val="0"/>
          <w:numId w:val="2"/>
        </w:numPr>
        <w:pBdr>
          <w:top w:val="nil"/>
          <w:left w:val="nil"/>
          <w:bottom w:val="nil"/>
          <w:right w:val="nil"/>
          <w:between w:val="nil"/>
        </w:pBdr>
        <w:tabs>
          <w:tab w:val="left" w:pos="432"/>
          <w:tab w:val="left" w:pos="1048"/>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Approve the Audited Financial Statements 2023 of ABBANK.</w:t>
      </w:r>
    </w:p>
    <w:p w14:paraId="1752A7C1" w14:textId="77777777" w:rsidR="007C22DA" w:rsidRPr="00252CC5" w:rsidRDefault="008672FD" w:rsidP="00252CC5">
      <w:pPr>
        <w:numPr>
          <w:ilvl w:val="0"/>
          <w:numId w:val="2"/>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bookmarkStart w:id="0" w:name="_heading=h.gjdgxs"/>
      <w:bookmarkEnd w:id="0"/>
      <w:r w:rsidRPr="00252CC5">
        <w:rPr>
          <w:rFonts w:ascii="Arial" w:hAnsi="Arial" w:cs="Arial"/>
          <w:color w:val="010000"/>
          <w:sz w:val="20"/>
          <w:szCs w:val="20"/>
        </w:rPr>
        <w:t>Approve the Report on activities in 2023 and operating orientation for 2024 of the Board of Directors; The General Meeting of Shareholders assigns/authorizes the Board of Directors to implement the following contents:</w:t>
      </w:r>
    </w:p>
    <w:p w14:paraId="58FA541B" w14:textId="5B616F52" w:rsidR="007C22DA" w:rsidRPr="00252CC5" w:rsidRDefault="008672FD" w:rsidP="00252CC5">
      <w:pPr>
        <w:numPr>
          <w:ilvl w:val="0"/>
          <w:numId w:val="3"/>
        </w:numPr>
        <w:pBdr>
          <w:top w:val="nil"/>
          <w:left w:val="nil"/>
          <w:bottom w:val="nil"/>
          <w:right w:val="nil"/>
          <w:between w:val="nil"/>
        </w:pBdr>
        <w:tabs>
          <w:tab w:val="left" w:pos="432"/>
          <w:tab w:val="left" w:pos="740"/>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xml:space="preserve">Decide on supplementing business lines </w:t>
      </w:r>
      <w:r w:rsidR="00252CC5">
        <w:rPr>
          <w:rFonts w:ascii="Arial" w:hAnsi="Arial" w:cs="Arial"/>
          <w:color w:val="010000"/>
          <w:sz w:val="20"/>
          <w:szCs w:val="20"/>
        </w:rPr>
        <w:t>following</w:t>
      </w:r>
      <w:r w:rsidRPr="00252CC5">
        <w:rPr>
          <w:rFonts w:ascii="Arial" w:hAnsi="Arial" w:cs="Arial"/>
          <w:color w:val="010000"/>
          <w:sz w:val="20"/>
          <w:szCs w:val="20"/>
        </w:rPr>
        <w:t xml:space="preserve"> ABBANK's retail business strategic orientation; Carry out procedures and dossiers to update and supplement business lines according to the provisions of law.</w:t>
      </w:r>
    </w:p>
    <w:p w14:paraId="1679641B" w14:textId="77777777" w:rsidR="007C22DA" w:rsidRPr="00252CC5" w:rsidRDefault="008672FD" w:rsidP="00252CC5">
      <w:pPr>
        <w:numPr>
          <w:ilvl w:val="0"/>
          <w:numId w:val="3"/>
        </w:numPr>
        <w:pBdr>
          <w:top w:val="nil"/>
          <w:left w:val="nil"/>
          <w:bottom w:val="nil"/>
          <w:right w:val="nil"/>
          <w:between w:val="nil"/>
        </w:pBdr>
        <w:tabs>
          <w:tab w:val="left" w:pos="432"/>
          <w:tab w:val="left" w:pos="747"/>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Review and adjust the business plan to suit the actual status and direction of state management agencies.</w:t>
      </w:r>
    </w:p>
    <w:p w14:paraId="4A02208C"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The Board of Directors is responsible for reporting the implementation of the above-mentioned assigned/authorized contents (if any) to the General Meeting of Shareholders at the nearest meeting.</w:t>
      </w:r>
    </w:p>
    <w:p w14:paraId="4EA7724D" w14:textId="77777777" w:rsidR="007C22DA" w:rsidRPr="00252CC5" w:rsidRDefault="008672FD" w:rsidP="00252CC5">
      <w:pPr>
        <w:numPr>
          <w:ilvl w:val="0"/>
          <w:numId w:val="2"/>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Approve the Report of the Board of Directors on the remuneration for members of the Board of Directors and the Supervisory Board in 2023 and proposals for 2024.</w:t>
      </w:r>
    </w:p>
    <w:p w14:paraId="08D8CCD7" w14:textId="44889E9E" w:rsidR="007C22DA" w:rsidRPr="00252CC5" w:rsidRDefault="008672FD" w:rsidP="00252CC5">
      <w:pPr>
        <w:numPr>
          <w:ilvl w:val="0"/>
          <w:numId w:val="2"/>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xml:space="preserve">Approve the Proposal of the Board of Directors on the appropriation for funds and distribution of profit after tax in 2023. In particular, deduction from profit after tax in 2023 to the charter capital supplementary reserve fund of 5%; financial </w:t>
      </w:r>
      <w:r w:rsidR="00D43B6F" w:rsidRPr="00252CC5">
        <w:rPr>
          <w:rFonts w:ascii="Arial" w:hAnsi="Arial" w:cs="Arial"/>
          <w:color w:val="010000"/>
          <w:sz w:val="20"/>
          <w:szCs w:val="20"/>
        </w:rPr>
        <w:t>reserve</w:t>
      </w:r>
      <w:r w:rsidRPr="00252CC5">
        <w:rPr>
          <w:rFonts w:ascii="Arial" w:hAnsi="Arial" w:cs="Arial"/>
          <w:color w:val="010000"/>
          <w:sz w:val="20"/>
          <w:szCs w:val="20"/>
        </w:rPr>
        <w:t xml:space="preserve"> fund of 10%</w:t>
      </w:r>
      <w:r w:rsidR="00260F58">
        <w:rPr>
          <w:rFonts w:ascii="Arial" w:hAnsi="Arial" w:cs="Arial"/>
          <w:color w:val="010000"/>
          <w:sz w:val="20"/>
          <w:szCs w:val="20"/>
        </w:rPr>
        <w:t>,</w:t>
      </w:r>
      <w:r w:rsidRPr="00252CC5">
        <w:rPr>
          <w:rFonts w:ascii="Arial" w:hAnsi="Arial" w:cs="Arial"/>
          <w:color w:val="010000"/>
          <w:sz w:val="20"/>
          <w:szCs w:val="20"/>
        </w:rPr>
        <w:t xml:space="preserve"> and bonus and welfare fund of 10%. The remaining profit after tax after appropriating for funds will be left undistributed.</w:t>
      </w:r>
    </w:p>
    <w:p w14:paraId="003717EB" w14:textId="77777777" w:rsidR="007C22DA" w:rsidRPr="00260F58" w:rsidRDefault="008672FD" w:rsidP="00260F58">
      <w:pPr>
        <w:pBdr>
          <w:top w:val="nil"/>
          <w:left w:val="nil"/>
          <w:bottom w:val="nil"/>
          <w:right w:val="nil"/>
          <w:between w:val="nil"/>
        </w:pBdr>
        <w:tabs>
          <w:tab w:val="left" w:pos="353"/>
          <w:tab w:val="left" w:pos="432"/>
        </w:tabs>
        <w:spacing w:after="120" w:line="360" w:lineRule="auto"/>
        <w:jc w:val="right"/>
        <w:rPr>
          <w:rFonts w:ascii="Arial" w:eastAsia="Arial" w:hAnsi="Arial" w:cs="Arial"/>
          <w:i/>
          <w:color w:val="010000"/>
          <w:sz w:val="20"/>
          <w:szCs w:val="20"/>
        </w:rPr>
      </w:pPr>
      <w:r w:rsidRPr="00260F58">
        <w:rPr>
          <w:rFonts w:ascii="Arial" w:hAnsi="Arial" w:cs="Arial"/>
          <w:i/>
          <w:color w:val="010000"/>
          <w:sz w:val="20"/>
          <w:szCs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1"/>
        <w:gridCol w:w="5854"/>
        <w:gridCol w:w="754"/>
        <w:gridCol w:w="1908"/>
      </w:tblGrid>
      <w:tr w:rsidR="007C22DA" w:rsidRPr="00252CC5" w14:paraId="5209CA8F" w14:textId="77777777" w:rsidTr="008672FD">
        <w:tc>
          <w:tcPr>
            <w:tcW w:w="278" w:type="pct"/>
            <w:shd w:val="clear" w:color="auto" w:fill="auto"/>
            <w:tcMar>
              <w:top w:w="0" w:type="dxa"/>
              <w:bottom w:w="0" w:type="dxa"/>
            </w:tcMar>
            <w:vAlign w:val="center"/>
          </w:tcPr>
          <w:p w14:paraId="5C9D549B"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No.</w:t>
            </w:r>
          </w:p>
        </w:tc>
        <w:tc>
          <w:tcPr>
            <w:tcW w:w="3246" w:type="pct"/>
            <w:shd w:val="clear" w:color="auto" w:fill="auto"/>
            <w:tcMar>
              <w:top w:w="0" w:type="dxa"/>
              <w:bottom w:w="0" w:type="dxa"/>
            </w:tcMar>
            <w:vAlign w:val="center"/>
          </w:tcPr>
          <w:p w14:paraId="1AC3AE08"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Target</w:t>
            </w:r>
          </w:p>
        </w:tc>
        <w:tc>
          <w:tcPr>
            <w:tcW w:w="418" w:type="pct"/>
            <w:shd w:val="clear" w:color="auto" w:fill="auto"/>
            <w:tcMar>
              <w:top w:w="0" w:type="dxa"/>
              <w:bottom w:w="0" w:type="dxa"/>
            </w:tcMar>
            <w:vAlign w:val="center"/>
          </w:tcPr>
          <w:p w14:paraId="5FF82419"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Rate</w:t>
            </w:r>
          </w:p>
        </w:tc>
        <w:tc>
          <w:tcPr>
            <w:tcW w:w="1058" w:type="pct"/>
            <w:shd w:val="clear" w:color="auto" w:fill="auto"/>
            <w:tcMar>
              <w:top w:w="0" w:type="dxa"/>
              <w:bottom w:w="0" w:type="dxa"/>
            </w:tcMar>
            <w:vAlign w:val="center"/>
          </w:tcPr>
          <w:p w14:paraId="4D8DBFF4"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Amount</w:t>
            </w:r>
          </w:p>
        </w:tc>
      </w:tr>
      <w:tr w:rsidR="007C22DA" w:rsidRPr="00252CC5" w14:paraId="605B5286" w14:textId="77777777" w:rsidTr="008672FD">
        <w:tc>
          <w:tcPr>
            <w:tcW w:w="278" w:type="pct"/>
            <w:shd w:val="clear" w:color="auto" w:fill="auto"/>
            <w:tcMar>
              <w:top w:w="0" w:type="dxa"/>
              <w:bottom w:w="0" w:type="dxa"/>
            </w:tcMar>
            <w:vAlign w:val="center"/>
          </w:tcPr>
          <w:p w14:paraId="5CAC9E6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w:t>
            </w:r>
          </w:p>
        </w:tc>
        <w:tc>
          <w:tcPr>
            <w:tcW w:w="3246" w:type="pct"/>
            <w:shd w:val="clear" w:color="auto" w:fill="auto"/>
            <w:tcMar>
              <w:top w:w="0" w:type="dxa"/>
              <w:bottom w:w="0" w:type="dxa"/>
            </w:tcMar>
            <w:vAlign w:val="center"/>
          </w:tcPr>
          <w:p w14:paraId="65458FB6" w14:textId="77777777" w:rsidR="007C22DA" w:rsidRPr="00252CC5" w:rsidRDefault="008672FD" w:rsidP="00260F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Profit after tax in 2023</w:t>
            </w:r>
          </w:p>
        </w:tc>
        <w:tc>
          <w:tcPr>
            <w:tcW w:w="418" w:type="pct"/>
            <w:shd w:val="clear" w:color="auto" w:fill="auto"/>
            <w:tcMar>
              <w:top w:w="0" w:type="dxa"/>
              <w:bottom w:w="0" w:type="dxa"/>
            </w:tcMar>
            <w:vAlign w:val="center"/>
          </w:tcPr>
          <w:p w14:paraId="38A71F18"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1058" w:type="pct"/>
            <w:shd w:val="clear" w:color="auto" w:fill="auto"/>
            <w:tcMar>
              <w:top w:w="0" w:type="dxa"/>
              <w:bottom w:w="0" w:type="dxa"/>
            </w:tcMar>
            <w:vAlign w:val="center"/>
          </w:tcPr>
          <w:p w14:paraId="7E60BDB9"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398,229,122,989</w:t>
            </w:r>
          </w:p>
        </w:tc>
      </w:tr>
      <w:tr w:rsidR="007C22DA" w:rsidRPr="00252CC5" w14:paraId="4C8A9B6A" w14:textId="77777777" w:rsidTr="008672FD">
        <w:tc>
          <w:tcPr>
            <w:tcW w:w="278" w:type="pct"/>
            <w:shd w:val="clear" w:color="auto" w:fill="auto"/>
            <w:tcMar>
              <w:top w:w="0" w:type="dxa"/>
              <w:bottom w:w="0" w:type="dxa"/>
            </w:tcMar>
            <w:vAlign w:val="center"/>
          </w:tcPr>
          <w:p w14:paraId="2A79C34F"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w:t>
            </w:r>
          </w:p>
        </w:tc>
        <w:tc>
          <w:tcPr>
            <w:tcW w:w="3246" w:type="pct"/>
            <w:shd w:val="clear" w:color="auto" w:fill="auto"/>
            <w:tcMar>
              <w:top w:w="0" w:type="dxa"/>
              <w:bottom w:w="0" w:type="dxa"/>
            </w:tcMar>
            <w:vAlign w:val="center"/>
          </w:tcPr>
          <w:p w14:paraId="1C46855E" w14:textId="77777777" w:rsidR="007C22DA" w:rsidRPr="00252CC5" w:rsidRDefault="008672FD" w:rsidP="00260F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Total funds to be divided</w:t>
            </w:r>
          </w:p>
        </w:tc>
        <w:tc>
          <w:tcPr>
            <w:tcW w:w="418" w:type="pct"/>
            <w:shd w:val="clear" w:color="auto" w:fill="auto"/>
            <w:tcMar>
              <w:top w:w="0" w:type="dxa"/>
              <w:bottom w:w="0" w:type="dxa"/>
            </w:tcMar>
            <w:vAlign w:val="center"/>
          </w:tcPr>
          <w:p w14:paraId="58772E8E"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1058" w:type="pct"/>
            <w:shd w:val="clear" w:color="auto" w:fill="auto"/>
            <w:tcMar>
              <w:top w:w="0" w:type="dxa"/>
              <w:bottom w:w="0" w:type="dxa"/>
            </w:tcMar>
            <w:vAlign w:val="center"/>
          </w:tcPr>
          <w:p w14:paraId="6F41DB65"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99,557,280,747</w:t>
            </w:r>
          </w:p>
        </w:tc>
      </w:tr>
      <w:tr w:rsidR="007C22DA" w:rsidRPr="00252CC5" w14:paraId="2E64153A" w14:textId="77777777" w:rsidTr="008672FD">
        <w:tc>
          <w:tcPr>
            <w:tcW w:w="278" w:type="pct"/>
            <w:shd w:val="clear" w:color="auto" w:fill="auto"/>
            <w:tcMar>
              <w:top w:w="0" w:type="dxa"/>
              <w:bottom w:w="0" w:type="dxa"/>
            </w:tcMar>
            <w:vAlign w:val="center"/>
          </w:tcPr>
          <w:p w14:paraId="7C7916BC"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3246" w:type="pct"/>
            <w:shd w:val="clear" w:color="auto" w:fill="auto"/>
            <w:tcMar>
              <w:top w:w="0" w:type="dxa"/>
              <w:bottom w:w="0" w:type="dxa"/>
            </w:tcMar>
            <w:vAlign w:val="center"/>
          </w:tcPr>
          <w:p w14:paraId="4C6A1359" w14:textId="77777777" w:rsidR="007C22DA" w:rsidRPr="00252CC5" w:rsidRDefault="008672FD" w:rsidP="00260F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2.1. Charter capital supplementary re</w:t>
            </w:r>
            <w:bookmarkStart w:id="1" w:name="_GoBack"/>
            <w:bookmarkEnd w:id="1"/>
            <w:r w:rsidRPr="00252CC5">
              <w:rPr>
                <w:rFonts w:ascii="Arial" w:hAnsi="Arial" w:cs="Arial"/>
                <w:color w:val="010000"/>
                <w:sz w:val="20"/>
                <w:szCs w:val="20"/>
              </w:rPr>
              <w:t>serve fund</w:t>
            </w:r>
          </w:p>
        </w:tc>
        <w:tc>
          <w:tcPr>
            <w:tcW w:w="418" w:type="pct"/>
            <w:shd w:val="clear" w:color="auto" w:fill="auto"/>
            <w:tcMar>
              <w:top w:w="0" w:type="dxa"/>
              <w:bottom w:w="0" w:type="dxa"/>
            </w:tcMar>
            <w:vAlign w:val="center"/>
          </w:tcPr>
          <w:p w14:paraId="1C750A49"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5%</w:t>
            </w:r>
          </w:p>
        </w:tc>
        <w:tc>
          <w:tcPr>
            <w:tcW w:w="1058" w:type="pct"/>
            <w:shd w:val="clear" w:color="auto" w:fill="auto"/>
            <w:tcMar>
              <w:top w:w="0" w:type="dxa"/>
              <w:bottom w:w="0" w:type="dxa"/>
            </w:tcMar>
            <w:vAlign w:val="center"/>
          </w:tcPr>
          <w:p w14:paraId="51185AE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19,911,456,149</w:t>
            </w:r>
          </w:p>
        </w:tc>
      </w:tr>
      <w:tr w:rsidR="007C22DA" w:rsidRPr="00252CC5" w14:paraId="05297952" w14:textId="77777777" w:rsidTr="008672FD">
        <w:tc>
          <w:tcPr>
            <w:tcW w:w="278" w:type="pct"/>
            <w:shd w:val="clear" w:color="auto" w:fill="auto"/>
            <w:tcMar>
              <w:top w:w="0" w:type="dxa"/>
              <w:bottom w:w="0" w:type="dxa"/>
            </w:tcMar>
            <w:vAlign w:val="center"/>
          </w:tcPr>
          <w:p w14:paraId="508F2C95"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3246" w:type="pct"/>
            <w:shd w:val="clear" w:color="auto" w:fill="auto"/>
            <w:tcMar>
              <w:top w:w="0" w:type="dxa"/>
              <w:bottom w:w="0" w:type="dxa"/>
            </w:tcMar>
            <w:vAlign w:val="center"/>
          </w:tcPr>
          <w:p w14:paraId="1FAE3A28" w14:textId="560C1EE9" w:rsidR="007C22DA" w:rsidRPr="00252CC5" w:rsidRDefault="008672FD" w:rsidP="00260F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 xml:space="preserve">2.2. Financial </w:t>
            </w:r>
            <w:r w:rsidR="00D43B6F" w:rsidRPr="00252CC5">
              <w:rPr>
                <w:rFonts w:ascii="Arial" w:hAnsi="Arial" w:cs="Arial"/>
                <w:color w:val="010000"/>
                <w:sz w:val="20"/>
                <w:szCs w:val="20"/>
              </w:rPr>
              <w:t>reserve</w:t>
            </w:r>
            <w:r w:rsidRPr="00252CC5">
              <w:rPr>
                <w:rFonts w:ascii="Arial" w:hAnsi="Arial" w:cs="Arial"/>
                <w:color w:val="010000"/>
                <w:sz w:val="20"/>
                <w:szCs w:val="20"/>
              </w:rPr>
              <w:t xml:space="preserve"> fund</w:t>
            </w:r>
          </w:p>
        </w:tc>
        <w:tc>
          <w:tcPr>
            <w:tcW w:w="418" w:type="pct"/>
            <w:shd w:val="clear" w:color="auto" w:fill="auto"/>
            <w:tcMar>
              <w:top w:w="0" w:type="dxa"/>
              <w:bottom w:w="0" w:type="dxa"/>
            </w:tcMar>
            <w:vAlign w:val="center"/>
          </w:tcPr>
          <w:p w14:paraId="79F9C4D4"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10%</w:t>
            </w:r>
          </w:p>
        </w:tc>
        <w:tc>
          <w:tcPr>
            <w:tcW w:w="1058" w:type="pct"/>
            <w:shd w:val="clear" w:color="auto" w:fill="auto"/>
            <w:tcMar>
              <w:top w:w="0" w:type="dxa"/>
              <w:bottom w:w="0" w:type="dxa"/>
            </w:tcMar>
            <w:vAlign w:val="center"/>
          </w:tcPr>
          <w:p w14:paraId="7E00F0F9"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39,822/912,299</w:t>
            </w:r>
          </w:p>
        </w:tc>
      </w:tr>
      <w:tr w:rsidR="007C22DA" w:rsidRPr="00252CC5" w14:paraId="4A9D6826" w14:textId="77777777" w:rsidTr="008672FD">
        <w:tc>
          <w:tcPr>
            <w:tcW w:w="278" w:type="pct"/>
            <w:shd w:val="clear" w:color="auto" w:fill="auto"/>
            <w:tcMar>
              <w:top w:w="0" w:type="dxa"/>
              <w:bottom w:w="0" w:type="dxa"/>
            </w:tcMar>
            <w:vAlign w:val="center"/>
          </w:tcPr>
          <w:p w14:paraId="231FF1D1"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3246" w:type="pct"/>
            <w:shd w:val="clear" w:color="auto" w:fill="auto"/>
            <w:tcMar>
              <w:top w:w="0" w:type="dxa"/>
              <w:bottom w:w="0" w:type="dxa"/>
            </w:tcMar>
            <w:vAlign w:val="center"/>
          </w:tcPr>
          <w:p w14:paraId="1B8CAD27" w14:textId="77777777" w:rsidR="007C22DA" w:rsidRPr="00252CC5" w:rsidRDefault="008672FD" w:rsidP="00260F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2.3. Bonus and welfare fund</w:t>
            </w:r>
          </w:p>
        </w:tc>
        <w:tc>
          <w:tcPr>
            <w:tcW w:w="418" w:type="pct"/>
            <w:shd w:val="clear" w:color="auto" w:fill="auto"/>
            <w:tcMar>
              <w:top w:w="0" w:type="dxa"/>
              <w:bottom w:w="0" w:type="dxa"/>
            </w:tcMar>
            <w:vAlign w:val="center"/>
          </w:tcPr>
          <w:p w14:paraId="7EDB7CEB"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10%</w:t>
            </w:r>
          </w:p>
        </w:tc>
        <w:tc>
          <w:tcPr>
            <w:tcW w:w="1058" w:type="pct"/>
            <w:shd w:val="clear" w:color="auto" w:fill="auto"/>
            <w:tcMar>
              <w:top w:w="0" w:type="dxa"/>
              <w:bottom w:w="0" w:type="dxa"/>
            </w:tcMar>
            <w:vAlign w:val="center"/>
          </w:tcPr>
          <w:p w14:paraId="455435B6"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39,822,912,299</w:t>
            </w:r>
          </w:p>
        </w:tc>
      </w:tr>
      <w:tr w:rsidR="007C22DA" w:rsidRPr="00252CC5" w14:paraId="4621BAD7" w14:textId="77777777" w:rsidTr="008672FD">
        <w:tc>
          <w:tcPr>
            <w:tcW w:w="278" w:type="pct"/>
            <w:shd w:val="clear" w:color="auto" w:fill="auto"/>
            <w:tcMar>
              <w:top w:w="0" w:type="dxa"/>
              <w:bottom w:w="0" w:type="dxa"/>
            </w:tcMar>
            <w:vAlign w:val="center"/>
          </w:tcPr>
          <w:p w14:paraId="13B15C43"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3</w:t>
            </w:r>
          </w:p>
        </w:tc>
        <w:tc>
          <w:tcPr>
            <w:tcW w:w="3246" w:type="pct"/>
            <w:shd w:val="clear" w:color="auto" w:fill="auto"/>
            <w:tcMar>
              <w:top w:w="0" w:type="dxa"/>
              <w:bottom w:w="0" w:type="dxa"/>
            </w:tcMar>
            <w:vAlign w:val="center"/>
          </w:tcPr>
          <w:p w14:paraId="162D43BE" w14:textId="77777777" w:rsidR="007C22DA" w:rsidRPr="00252CC5" w:rsidRDefault="008672FD" w:rsidP="00260F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Remaining profit in 2023</w:t>
            </w:r>
          </w:p>
        </w:tc>
        <w:tc>
          <w:tcPr>
            <w:tcW w:w="418" w:type="pct"/>
            <w:shd w:val="clear" w:color="auto" w:fill="auto"/>
            <w:tcMar>
              <w:top w:w="0" w:type="dxa"/>
              <w:bottom w:w="0" w:type="dxa"/>
            </w:tcMar>
            <w:vAlign w:val="center"/>
          </w:tcPr>
          <w:p w14:paraId="618C9BD9"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1058" w:type="pct"/>
            <w:shd w:val="clear" w:color="auto" w:fill="auto"/>
            <w:tcMar>
              <w:top w:w="0" w:type="dxa"/>
              <w:bottom w:w="0" w:type="dxa"/>
            </w:tcMar>
            <w:vAlign w:val="center"/>
          </w:tcPr>
          <w:p w14:paraId="6A43CD24"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298,671,842,242</w:t>
            </w:r>
          </w:p>
        </w:tc>
      </w:tr>
      <w:tr w:rsidR="007C22DA" w:rsidRPr="00252CC5" w14:paraId="41F1FEEA" w14:textId="77777777" w:rsidTr="008672FD">
        <w:tc>
          <w:tcPr>
            <w:tcW w:w="278" w:type="pct"/>
            <w:shd w:val="clear" w:color="auto" w:fill="auto"/>
            <w:tcMar>
              <w:top w:w="0" w:type="dxa"/>
              <w:bottom w:w="0" w:type="dxa"/>
            </w:tcMar>
            <w:vAlign w:val="center"/>
          </w:tcPr>
          <w:p w14:paraId="17099F01"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4</w:t>
            </w:r>
          </w:p>
        </w:tc>
        <w:tc>
          <w:tcPr>
            <w:tcW w:w="3246" w:type="pct"/>
            <w:shd w:val="clear" w:color="auto" w:fill="auto"/>
            <w:tcMar>
              <w:top w:w="0" w:type="dxa"/>
              <w:bottom w:w="0" w:type="dxa"/>
            </w:tcMar>
            <w:vAlign w:val="center"/>
          </w:tcPr>
          <w:p w14:paraId="6725951F" w14:textId="77777777" w:rsidR="007C22DA" w:rsidRPr="00252CC5" w:rsidRDefault="008672FD" w:rsidP="00260F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Unused remaining profit from years before 2023</w:t>
            </w:r>
          </w:p>
        </w:tc>
        <w:tc>
          <w:tcPr>
            <w:tcW w:w="418" w:type="pct"/>
            <w:shd w:val="clear" w:color="auto" w:fill="auto"/>
            <w:tcMar>
              <w:top w:w="0" w:type="dxa"/>
              <w:bottom w:w="0" w:type="dxa"/>
            </w:tcMar>
            <w:vAlign w:val="center"/>
          </w:tcPr>
          <w:p w14:paraId="27D6A31A"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1058" w:type="pct"/>
            <w:shd w:val="clear" w:color="auto" w:fill="auto"/>
            <w:tcMar>
              <w:top w:w="0" w:type="dxa"/>
              <w:bottom w:w="0" w:type="dxa"/>
            </w:tcMar>
            <w:vAlign w:val="center"/>
          </w:tcPr>
          <w:p w14:paraId="703BD1F1"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1,542,003,154,662</w:t>
            </w:r>
          </w:p>
        </w:tc>
      </w:tr>
      <w:tr w:rsidR="007C22DA" w:rsidRPr="00252CC5" w14:paraId="520731D5" w14:textId="77777777" w:rsidTr="008672FD">
        <w:tc>
          <w:tcPr>
            <w:tcW w:w="278" w:type="pct"/>
            <w:shd w:val="clear" w:color="auto" w:fill="auto"/>
            <w:tcMar>
              <w:top w:w="0" w:type="dxa"/>
              <w:bottom w:w="0" w:type="dxa"/>
            </w:tcMar>
            <w:vAlign w:val="center"/>
          </w:tcPr>
          <w:p w14:paraId="7BCD344A"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5</w:t>
            </w:r>
          </w:p>
        </w:tc>
        <w:tc>
          <w:tcPr>
            <w:tcW w:w="3246" w:type="pct"/>
            <w:shd w:val="clear" w:color="auto" w:fill="auto"/>
            <w:tcMar>
              <w:top w:w="0" w:type="dxa"/>
              <w:bottom w:w="0" w:type="dxa"/>
            </w:tcMar>
            <w:vAlign w:val="center"/>
          </w:tcPr>
          <w:p w14:paraId="0A5C008F" w14:textId="77777777" w:rsidR="007C22DA" w:rsidRPr="00252CC5" w:rsidRDefault="008672FD" w:rsidP="00260F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Total remaining undistributed profit</w:t>
            </w:r>
          </w:p>
        </w:tc>
        <w:tc>
          <w:tcPr>
            <w:tcW w:w="418" w:type="pct"/>
            <w:shd w:val="clear" w:color="auto" w:fill="auto"/>
            <w:tcMar>
              <w:top w:w="0" w:type="dxa"/>
              <w:bottom w:w="0" w:type="dxa"/>
            </w:tcMar>
            <w:vAlign w:val="center"/>
          </w:tcPr>
          <w:p w14:paraId="068E233A" w14:textId="77777777" w:rsidR="007C22DA" w:rsidRPr="00252CC5" w:rsidRDefault="007C22DA" w:rsidP="00260F58">
            <w:pPr>
              <w:tabs>
                <w:tab w:val="left" w:pos="432"/>
              </w:tabs>
              <w:spacing w:after="120" w:line="360" w:lineRule="auto"/>
              <w:jc w:val="center"/>
              <w:rPr>
                <w:rFonts w:ascii="Arial" w:eastAsia="Arial" w:hAnsi="Arial" w:cs="Arial"/>
                <w:color w:val="010000"/>
                <w:sz w:val="20"/>
                <w:szCs w:val="20"/>
              </w:rPr>
            </w:pPr>
          </w:p>
        </w:tc>
        <w:tc>
          <w:tcPr>
            <w:tcW w:w="1058" w:type="pct"/>
            <w:shd w:val="clear" w:color="auto" w:fill="auto"/>
            <w:tcMar>
              <w:top w:w="0" w:type="dxa"/>
              <w:bottom w:w="0" w:type="dxa"/>
            </w:tcMar>
            <w:vAlign w:val="center"/>
          </w:tcPr>
          <w:p w14:paraId="15EA212B"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1,840,674,996,904</w:t>
            </w:r>
          </w:p>
        </w:tc>
      </w:tr>
      <w:tr w:rsidR="007C22DA" w:rsidRPr="00252CC5" w14:paraId="63282E8A" w14:textId="77777777" w:rsidTr="008672FD">
        <w:tc>
          <w:tcPr>
            <w:tcW w:w="278" w:type="pct"/>
            <w:shd w:val="clear" w:color="auto" w:fill="auto"/>
            <w:tcMar>
              <w:top w:w="0" w:type="dxa"/>
              <w:bottom w:w="0" w:type="dxa"/>
            </w:tcMar>
            <w:vAlign w:val="center"/>
          </w:tcPr>
          <w:p w14:paraId="790F8F98" w14:textId="77777777" w:rsidR="007C22DA" w:rsidRPr="00252CC5" w:rsidRDefault="008672FD" w:rsidP="00260F5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52CC5">
              <w:rPr>
                <w:rFonts w:ascii="Arial" w:hAnsi="Arial" w:cs="Arial"/>
                <w:color w:val="010000"/>
                <w:sz w:val="20"/>
                <w:szCs w:val="20"/>
              </w:rPr>
              <w:t>6</w:t>
            </w:r>
          </w:p>
        </w:tc>
        <w:tc>
          <w:tcPr>
            <w:tcW w:w="4722" w:type="pct"/>
            <w:gridSpan w:val="3"/>
            <w:shd w:val="clear" w:color="auto" w:fill="auto"/>
            <w:tcMar>
              <w:top w:w="0" w:type="dxa"/>
              <w:bottom w:w="0" w:type="dxa"/>
            </w:tcMar>
            <w:vAlign w:val="center"/>
          </w:tcPr>
          <w:p w14:paraId="6504A48A" w14:textId="77777777" w:rsidR="007C22DA" w:rsidRPr="00252CC5" w:rsidRDefault="008672FD" w:rsidP="00260F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The Board of Directors submits to the General Meeting of Shareholders for approval:</w:t>
            </w:r>
          </w:p>
          <w:p w14:paraId="7E2938BE" w14:textId="77777777" w:rsidR="007C22DA" w:rsidRPr="00252CC5" w:rsidRDefault="008672FD" w:rsidP="00260F58">
            <w:pPr>
              <w:numPr>
                <w:ilvl w:val="0"/>
                <w:numId w:val="1"/>
              </w:numPr>
              <w:pBdr>
                <w:top w:val="nil"/>
                <w:left w:val="nil"/>
                <w:bottom w:val="nil"/>
                <w:right w:val="nil"/>
                <w:between w:val="nil"/>
              </w:pBdr>
              <w:tabs>
                <w:tab w:val="left" w:pos="379"/>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Appropriation for funds from profit after tax in 2023 as shown above.</w:t>
            </w:r>
          </w:p>
          <w:p w14:paraId="0E72BF79" w14:textId="77777777" w:rsidR="007C22DA" w:rsidRPr="00252CC5" w:rsidRDefault="008672FD" w:rsidP="00260F58">
            <w:pPr>
              <w:numPr>
                <w:ilvl w:val="0"/>
                <w:numId w:val="1"/>
              </w:numPr>
              <w:pBdr>
                <w:top w:val="nil"/>
                <w:left w:val="nil"/>
                <w:bottom w:val="nil"/>
                <w:right w:val="nil"/>
                <w:between w:val="nil"/>
              </w:pBdr>
              <w:tabs>
                <w:tab w:val="left" w:pos="341"/>
                <w:tab w:val="left" w:pos="432"/>
              </w:tabs>
              <w:spacing w:after="120" w:line="360" w:lineRule="auto"/>
              <w:rPr>
                <w:rFonts w:ascii="Arial" w:eastAsia="Arial" w:hAnsi="Arial" w:cs="Arial"/>
                <w:color w:val="010000"/>
                <w:sz w:val="20"/>
                <w:szCs w:val="20"/>
              </w:rPr>
            </w:pPr>
            <w:r w:rsidRPr="00252CC5">
              <w:rPr>
                <w:rFonts w:ascii="Arial" w:hAnsi="Arial" w:cs="Arial"/>
                <w:color w:val="010000"/>
                <w:sz w:val="20"/>
                <w:szCs w:val="20"/>
              </w:rPr>
              <w:t>Leave all/undistributed remaining profit after tax in 2023 after appropriating funds to supplement capital source to implement the strategic plan, creating internal accumulation to increase charter capital in the future.</w:t>
            </w:r>
          </w:p>
        </w:tc>
      </w:tr>
    </w:tbl>
    <w:p w14:paraId="178E5D12" w14:textId="77777777" w:rsidR="007C22DA" w:rsidRPr="00252CC5" w:rsidRDefault="008672FD" w:rsidP="00252CC5">
      <w:pPr>
        <w:numPr>
          <w:ilvl w:val="0"/>
          <w:numId w:val="2"/>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Approve the Report on financial appraisal and operations in 2023 and operation plan 2024 of the Supervisory Board.</w:t>
      </w:r>
    </w:p>
    <w:p w14:paraId="4B953575" w14:textId="77777777" w:rsidR="007C22DA" w:rsidRPr="00252CC5" w:rsidRDefault="008672FD" w:rsidP="00252CC5">
      <w:pPr>
        <w:numPr>
          <w:ilvl w:val="0"/>
          <w:numId w:val="2"/>
        </w:numPr>
        <w:pBdr>
          <w:top w:val="nil"/>
          <w:left w:val="nil"/>
          <w:bottom w:val="nil"/>
          <w:right w:val="nil"/>
          <w:between w:val="nil"/>
        </w:pBdr>
        <w:tabs>
          <w:tab w:val="left" w:pos="353"/>
          <w:tab w:val="left" w:pos="432"/>
          <w:tab w:val="left" w:pos="9610"/>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xml:space="preserve">Approve the list of internationally reputed independent audit companies, including: KPMG Company Limited (KPMG), </w:t>
      </w:r>
      <w:proofErr w:type="spellStart"/>
      <w:r w:rsidRPr="00252CC5">
        <w:rPr>
          <w:rFonts w:ascii="Arial" w:hAnsi="Arial" w:cs="Arial"/>
          <w:color w:val="010000"/>
          <w:sz w:val="20"/>
          <w:szCs w:val="20"/>
        </w:rPr>
        <w:t>Ld</w:t>
      </w:r>
      <w:proofErr w:type="spellEnd"/>
      <w:r w:rsidRPr="00252CC5">
        <w:rPr>
          <w:rFonts w:ascii="Arial" w:hAnsi="Arial" w:cs="Arial"/>
          <w:color w:val="010000"/>
          <w:sz w:val="20"/>
          <w:szCs w:val="20"/>
        </w:rPr>
        <w:t xml:space="preserve"> </w:t>
      </w:r>
      <w:proofErr w:type="spellStart"/>
      <w:r w:rsidRPr="00252CC5">
        <w:rPr>
          <w:rFonts w:ascii="Arial" w:hAnsi="Arial" w:cs="Arial"/>
          <w:color w:val="010000"/>
          <w:sz w:val="20"/>
          <w:szCs w:val="20"/>
        </w:rPr>
        <w:t>Lotte</w:t>
      </w:r>
      <w:proofErr w:type="spellEnd"/>
      <w:r w:rsidRPr="00252CC5">
        <w:rPr>
          <w:rFonts w:ascii="Arial" w:hAnsi="Arial" w:cs="Arial"/>
          <w:color w:val="010000"/>
          <w:sz w:val="20"/>
          <w:szCs w:val="20"/>
        </w:rPr>
        <w:t xml:space="preserve"> Vietnam Company Limited (DE LOTTE), Ernst &amp; Young Vietnam Company Limited (E&amp;Y), PwC Vietnam Company Limited (PWC) The General Meeting of Shareholders authorizes the Board of Directors to select one of the independent audit companies on the above list to audit ABBANK's Financial Statements for the fiscal years 2024 and 2025.</w:t>
      </w:r>
    </w:p>
    <w:p w14:paraId="3630B301" w14:textId="77777777" w:rsidR="007C22DA" w:rsidRPr="00252CC5" w:rsidRDefault="008672FD" w:rsidP="00252CC5">
      <w:pPr>
        <w:numPr>
          <w:ilvl w:val="0"/>
          <w:numId w:val="2"/>
        </w:numPr>
        <w:pBdr>
          <w:top w:val="nil"/>
          <w:left w:val="nil"/>
          <w:bottom w:val="nil"/>
          <w:right w:val="nil"/>
          <w:between w:val="nil"/>
        </w:pBdr>
        <w:tabs>
          <w:tab w:val="left" w:pos="353"/>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Approve the resignation and approve the dismissal of members of the Supervisory Board according to Ms. Pham Thi Hang's personal wishes.</w:t>
      </w:r>
    </w:p>
    <w:p w14:paraId="054FFD9E" w14:textId="77777777" w:rsidR="007C22DA" w:rsidRPr="00252CC5" w:rsidRDefault="008672FD" w:rsidP="00252CC5">
      <w:pPr>
        <w:numPr>
          <w:ilvl w:val="0"/>
          <w:numId w:val="2"/>
        </w:numPr>
        <w:pBdr>
          <w:top w:val="nil"/>
          <w:left w:val="nil"/>
          <w:bottom w:val="nil"/>
          <w:right w:val="nil"/>
          <w:between w:val="nil"/>
        </w:pBdr>
        <w:tabs>
          <w:tab w:val="left" w:pos="439"/>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xml:space="preserve">Elect Mr. Nguyen Hong </w:t>
      </w:r>
      <w:proofErr w:type="spellStart"/>
      <w:r w:rsidRPr="00252CC5">
        <w:rPr>
          <w:rFonts w:ascii="Arial" w:hAnsi="Arial" w:cs="Arial"/>
          <w:color w:val="010000"/>
          <w:sz w:val="20"/>
          <w:szCs w:val="20"/>
        </w:rPr>
        <w:t>Quang</w:t>
      </w:r>
      <w:proofErr w:type="spellEnd"/>
      <w:r w:rsidRPr="00252CC5">
        <w:rPr>
          <w:rFonts w:ascii="Arial" w:hAnsi="Arial" w:cs="Arial"/>
          <w:color w:val="010000"/>
          <w:sz w:val="20"/>
          <w:szCs w:val="20"/>
        </w:rPr>
        <w:t xml:space="preserve"> as member of the Supervisory Board (term: 2024-2027).</w:t>
      </w:r>
    </w:p>
    <w:p w14:paraId="68C1381D" w14:textId="77777777" w:rsidR="007C22DA" w:rsidRPr="00252CC5" w:rsidRDefault="008672FD" w:rsidP="00252CC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Article 2. Terms of enforcement</w:t>
      </w:r>
    </w:p>
    <w:p w14:paraId="5792A6B2"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This General Mandate takes effect from April 05, 2024.</w:t>
      </w:r>
    </w:p>
    <w:p w14:paraId="3011E5AA" w14:textId="77777777" w:rsidR="007C22DA" w:rsidRPr="00252CC5" w:rsidRDefault="008672FD" w:rsidP="00252CC5">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Article 3. Responsibility</w:t>
      </w:r>
    </w:p>
    <w:p w14:paraId="39A46CEC" w14:textId="77777777" w:rsidR="007C22DA" w:rsidRPr="00252CC5" w:rsidRDefault="008672FD" w:rsidP="00252CC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52CC5">
        <w:rPr>
          <w:rFonts w:ascii="Arial" w:hAnsi="Arial" w:cs="Arial"/>
          <w:color w:val="010000"/>
          <w:sz w:val="20"/>
          <w:szCs w:val="20"/>
        </w:rPr>
        <w:t xml:space="preserve">The Board of Directors, the Supervisory Board and the General Manager of ABBANK shall base on their functions, tasks and powers to direct and organize the implementation of this General Mandate. </w:t>
      </w:r>
    </w:p>
    <w:sectPr w:rsidR="007C22DA" w:rsidRPr="00252CC5" w:rsidSect="00EC2B7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1892"/>
    <w:multiLevelType w:val="multilevel"/>
    <w:tmpl w:val="8D5C67B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3E174E"/>
    <w:multiLevelType w:val="multilevel"/>
    <w:tmpl w:val="9CD4F4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87539FA"/>
    <w:multiLevelType w:val="multilevel"/>
    <w:tmpl w:val="F3BC18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DA"/>
    <w:rsid w:val="00252CC5"/>
    <w:rsid w:val="00260F58"/>
    <w:rsid w:val="007C22DA"/>
    <w:rsid w:val="008672FD"/>
    <w:rsid w:val="00D43B6F"/>
    <w:rsid w:val="00EC2B7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35A96"/>
  <w15:docId w15:val="{17810CEB-32BB-4767-967F-C8F65847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sz w:val="42"/>
      <w:szCs w:val="42"/>
      <w:u w:val="none"/>
      <w:shd w:val="clear" w:color="auto" w:fill="auto"/>
    </w:rPr>
  </w:style>
  <w:style w:type="character" w:customStyle="1" w:styleId="BodyTextChar">
    <w:name w:val="Body Text Char"/>
    <w:basedOn w:val="DefaultParagraphFont"/>
    <w:link w:val="BodyText"/>
    <w:rPr>
      <w:rFonts w:ascii="Palatino Linotype" w:eastAsia="Palatino Linotype" w:hAnsi="Palatino Linotype" w:cs="Palatino Linotype"/>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Palatino Linotype" w:eastAsia="Palatino Linotype" w:hAnsi="Palatino Linotype" w:cs="Palatino Linotype"/>
      <w:b/>
      <w:bCs/>
      <w:i w:val="0"/>
      <w:iCs w:val="0"/>
      <w:smallCaps w:val="0"/>
      <w:strike w:val="0"/>
      <w:u w:val="none"/>
      <w:shd w:val="clear" w:color="auto" w:fill="auto"/>
    </w:rPr>
  </w:style>
  <w:style w:type="character" w:customStyle="1" w:styleId="Heading10">
    <w:name w:val="Heading #1_"/>
    <w:basedOn w:val="DefaultParagraphFont"/>
    <w:link w:val="Heading11"/>
    <w:rPr>
      <w:rFonts w:ascii="Palatino Linotype" w:eastAsia="Palatino Linotype" w:hAnsi="Palatino Linotype" w:cs="Palatino Linotype"/>
      <w:b/>
      <w:bCs/>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Palatino Linotype" w:eastAsia="Palatino Linotype" w:hAnsi="Palatino Linotype" w:cs="Palatino Linotype"/>
      <w:b w:val="0"/>
      <w:bCs w:val="0"/>
      <w:i w:val="0"/>
      <w:iCs w:val="0"/>
      <w:smallCaps w:val="0"/>
      <w:strike w:val="0"/>
      <w:sz w:val="20"/>
      <w:szCs w:val="20"/>
      <w:u w:val="none"/>
      <w:shd w:val="clear" w:color="auto" w:fill="auto"/>
    </w:rPr>
  </w:style>
  <w:style w:type="paragraph" w:customStyle="1" w:styleId="Bodytext40">
    <w:name w:val="Body text (4)"/>
    <w:basedOn w:val="Normal"/>
    <w:link w:val="Bodytext4"/>
    <w:rPr>
      <w:rFonts w:ascii="Arial" w:eastAsia="Arial" w:hAnsi="Arial" w:cs="Arial"/>
      <w:b/>
      <w:bCs/>
      <w:sz w:val="42"/>
      <w:szCs w:val="42"/>
    </w:rPr>
  </w:style>
  <w:style w:type="paragraph" w:styleId="BodyText">
    <w:name w:val="Body Text"/>
    <w:basedOn w:val="Normal"/>
    <w:link w:val="BodyTextChar"/>
    <w:qFormat/>
    <w:pPr>
      <w:spacing w:line="298" w:lineRule="auto"/>
    </w:pPr>
    <w:rPr>
      <w:rFonts w:ascii="Palatino Linotype" w:eastAsia="Palatino Linotype" w:hAnsi="Palatino Linotype" w:cs="Palatino Linotype"/>
    </w:rPr>
  </w:style>
  <w:style w:type="paragraph" w:customStyle="1" w:styleId="Heading21">
    <w:name w:val="Heading #2"/>
    <w:basedOn w:val="Normal"/>
    <w:link w:val="Heading20"/>
    <w:pPr>
      <w:outlineLvl w:val="1"/>
    </w:pPr>
    <w:rPr>
      <w:rFonts w:ascii="Palatino Linotype" w:eastAsia="Palatino Linotype" w:hAnsi="Palatino Linotype" w:cs="Palatino Linotype"/>
      <w:b/>
      <w:bCs/>
    </w:rPr>
  </w:style>
  <w:style w:type="paragraph" w:customStyle="1" w:styleId="Heading11">
    <w:name w:val="Heading #1"/>
    <w:basedOn w:val="Normal"/>
    <w:link w:val="Heading10"/>
    <w:pPr>
      <w:jc w:val="center"/>
      <w:outlineLvl w:val="0"/>
    </w:pPr>
    <w:rPr>
      <w:rFonts w:ascii="Palatino Linotype" w:eastAsia="Palatino Linotype" w:hAnsi="Palatino Linotype" w:cs="Palatino Linotype"/>
      <w:b/>
      <w:bCs/>
      <w:sz w:val="30"/>
      <w:szCs w:val="30"/>
    </w:rPr>
  </w:style>
  <w:style w:type="paragraph" w:customStyle="1" w:styleId="Bodytext30">
    <w:name w:val="Body text (3)"/>
    <w:basedOn w:val="Normal"/>
    <w:link w:val="Bodytext3"/>
    <w:pPr>
      <w:jc w:val="center"/>
    </w:pPr>
    <w:rPr>
      <w:rFonts w:ascii="Times New Roman" w:eastAsia="Times New Roman" w:hAnsi="Times New Roman" w:cs="Times New Roman"/>
      <w:b/>
      <w:bCs/>
      <w:sz w:val="30"/>
      <w:szCs w:val="30"/>
    </w:rPr>
  </w:style>
  <w:style w:type="paragraph" w:customStyle="1" w:styleId="Bodytext20">
    <w:name w:val="Body text (2)"/>
    <w:basedOn w:val="Normal"/>
    <w:link w:val="Bodytext2"/>
    <w:rPr>
      <w:rFonts w:ascii="Palatino Linotype" w:eastAsia="Palatino Linotype" w:hAnsi="Palatino Linotype" w:cs="Palatino Linotype"/>
      <w:sz w:val="20"/>
      <w:szCs w:val="20"/>
    </w:rPr>
  </w:style>
  <w:style w:type="paragraph" w:styleId="ListParagraph">
    <w:name w:val="List Paragraph"/>
    <w:basedOn w:val="Normal"/>
    <w:uiPriority w:val="34"/>
    <w:qFormat/>
    <w:rsid w:val="00C921AF"/>
    <w:pPr>
      <w:ind w:left="720"/>
      <w:contextualSpacing/>
    </w:pPr>
  </w:style>
  <w:style w:type="character" w:customStyle="1" w:styleId="Other">
    <w:name w:val="Other_"/>
    <w:basedOn w:val="DefaultParagraphFont"/>
    <w:link w:val="Other0"/>
    <w:rsid w:val="00321B6E"/>
    <w:rPr>
      <w:rFonts w:ascii="Times New Roman" w:eastAsia="Times New Roman" w:hAnsi="Times New Roman" w:cs="Times New Roman"/>
      <w:b/>
      <w:bCs/>
      <w:sz w:val="26"/>
      <w:szCs w:val="26"/>
    </w:rPr>
  </w:style>
  <w:style w:type="paragraph" w:customStyle="1" w:styleId="Other0">
    <w:name w:val="Other"/>
    <w:basedOn w:val="Normal"/>
    <w:link w:val="Other"/>
    <w:rsid w:val="00321B6E"/>
    <w:rPr>
      <w:rFonts w:ascii="Times New Roman" w:eastAsia="Times New Roman" w:hAnsi="Times New Roman" w:cs="Times New Roman"/>
      <w:b/>
      <w:bCs/>
      <w:color w:val="auto"/>
      <w:sz w:val="26"/>
      <w:szCs w:val="26"/>
    </w:rPr>
  </w:style>
  <w:style w:type="character" w:customStyle="1" w:styleId="Tablecaption">
    <w:name w:val="Table caption_"/>
    <w:basedOn w:val="DefaultParagraphFont"/>
    <w:link w:val="Tablecaption0"/>
    <w:rsid w:val="002D144D"/>
    <w:rPr>
      <w:rFonts w:ascii="Times New Roman" w:eastAsia="Times New Roman" w:hAnsi="Times New Roman" w:cs="Times New Roman"/>
      <w:b/>
      <w:bCs/>
      <w:color w:val="EBEBEB"/>
      <w:sz w:val="22"/>
      <w:szCs w:val="22"/>
    </w:rPr>
  </w:style>
  <w:style w:type="paragraph" w:customStyle="1" w:styleId="Tablecaption0">
    <w:name w:val="Table caption"/>
    <w:basedOn w:val="Normal"/>
    <w:link w:val="Tablecaption"/>
    <w:rsid w:val="002D144D"/>
    <w:pPr>
      <w:spacing w:line="199" w:lineRule="auto"/>
    </w:pPr>
    <w:rPr>
      <w:rFonts w:ascii="Times New Roman" w:eastAsia="Times New Roman" w:hAnsi="Times New Roman" w:cs="Times New Roman"/>
      <w:b/>
      <w:bCs/>
      <w:color w:val="EBEBE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ye2KrQPa+omOVjph6hzVOqr1g==">CgMxLjAyCGguZ2pkZ3hzOAByITE1czItVDV3ZGxBbzYyU3pxUXlicV9oRHlhdDY3WmFZbA==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797</Words>
  <Characters>4325</Characters>
  <Application>Microsoft Office Word</Application>
  <DocSecurity>0</DocSecurity>
  <Lines>227</Lines>
  <Paragraphs>189</Paragraphs>
  <ScaleCrop>false</ScaleCrop>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2024-04-09T09:39:00Z</dcterms:created>
  <dcterms:modified xsi:type="dcterms:W3CDTF">2024-04-11T03:41:00Z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89e7ce361b1db7815c4d23a92f8b02d3a8b0a0f7f9f975aa630d1f2f4e21f149</vt:lpwstr>
  </property>
</Properties>
</file>