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4A" w:rsidRDefault="00C96D16" w:rsidP="00C96D16">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HNF: Board Resolution</w:t>
      </w:r>
    </w:p>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April 9, 2024, </w:t>
      </w:r>
      <w:proofErr w:type="spellStart"/>
      <w:r>
        <w:rPr>
          <w:rFonts w:ascii="Arial" w:hAnsi="Arial"/>
          <w:color w:val="010000"/>
          <w:sz w:val="20"/>
        </w:rPr>
        <w:t>HuuNghi</w:t>
      </w:r>
      <w:proofErr w:type="spellEnd"/>
      <w:r>
        <w:rPr>
          <w:rFonts w:ascii="Arial" w:hAnsi="Arial"/>
          <w:color w:val="010000"/>
          <w:sz w:val="20"/>
        </w:rPr>
        <w:t xml:space="preserve"> Food Joint Stock Company announced Resolution No. 52/HDQT-TPHN on the approval of the plan to organize the Annual General Meeting</w:t>
      </w:r>
      <w:r>
        <w:rPr>
          <w:rFonts w:ascii="Arial" w:hAnsi="Arial"/>
          <w:color w:val="010000"/>
          <w:sz w:val="20"/>
        </w:rPr>
        <w:t xml:space="preserve"> 2024 and the full text of the meeting dossiers as follows:</w:t>
      </w:r>
      <w:r>
        <w:rPr>
          <w:rFonts w:ascii="Arial" w:hAnsi="Arial"/>
          <w:color w:val="010000"/>
          <w:sz w:val="20"/>
        </w:rPr>
        <w:t xml:space="preserve"> </w:t>
      </w:r>
    </w:p>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 Approved contents: </w:t>
      </w:r>
      <w:r>
        <w:rPr>
          <w:rFonts w:ascii="Arial" w:hAnsi="Arial"/>
          <w:color w:val="010000"/>
          <w:sz w:val="20"/>
        </w:rPr>
        <w:t>Approve the plan to organize the Annual General Meeting</w:t>
      </w:r>
      <w:r>
        <w:rPr>
          <w:rFonts w:ascii="Arial" w:hAnsi="Arial"/>
          <w:color w:val="010000"/>
          <w:sz w:val="20"/>
        </w:rPr>
        <w:t xml:space="preserve"> 2024, specifically as follows:</w:t>
      </w:r>
    </w:p>
    <w:p w:rsidR="001E1C4A" w:rsidRDefault="00C96D16" w:rsidP="00C96D16">
      <w:pPr>
        <w:numPr>
          <w:ilvl w:val="0"/>
          <w:numId w:val="2"/>
        </w:numPr>
        <w:pBdr>
          <w:top w:val="nil"/>
          <w:left w:val="nil"/>
          <w:bottom w:val="nil"/>
          <w:right w:val="nil"/>
          <w:between w:val="nil"/>
        </w:pBdr>
        <w:tabs>
          <w:tab w:val="left" w:pos="432"/>
          <w:tab w:val="left" w:pos="2458"/>
        </w:tabs>
        <w:spacing w:after="120" w:line="360" w:lineRule="auto"/>
        <w:jc w:val="both"/>
        <w:rPr>
          <w:rFonts w:ascii="Arial" w:eastAsia="Arial" w:hAnsi="Arial" w:cs="Arial"/>
          <w:color w:val="010000"/>
          <w:sz w:val="20"/>
          <w:szCs w:val="20"/>
        </w:rPr>
      </w:pPr>
      <w:r>
        <w:rPr>
          <w:rFonts w:ascii="Arial" w:hAnsi="Arial"/>
          <w:color w:val="010000"/>
          <w:sz w:val="20"/>
        </w:rPr>
        <w:t xml:space="preserve">Exercise rate: </w:t>
      </w:r>
      <w:r>
        <w:rPr>
          <w:rFonts w:ascii="Arial" w:hAnsi="Arial"/>
          <w:color w:val="010000"/>
          <w:sz w:val="20"/>
        </w:rPr>
        <w:t>1 share - 1 voting rights</w:t>
      </w:r>
    </w:p>
    <w:p w:rsidR="001E1C4A" w:rsidRDefault="00C96D16" w:rsidP="00C96D16">
      <w:pPr>
        <w:numPr>
          <w:ilvl w:val="0"/>
          <w:numId w:val="2"/>
        </w:numPr>
        <w:pBdr>
          <w:top w:val="nil"/>
          <w:left w:val="nil"/>
          <w:bottom w:val="nil"/>
          <w:right w:val="nil"/>
          <w:between w:val="nil"/>
        </w:pBdr>
        <w:tabs>
          <w:tab w:val="left" w:pos="432"/>
          <w:tab w:val="left" w:pos="2472"/>
        </w:tabs>
        <w:spacing w:after="120" w:line="360" w:lineRule="auto"/>
        <w:jc w:val="both"/>
        <w:rPr>
          <w:rFonts w:ascii="Arial" w:eastAsia="Arial" w:hAnsi="Arial" w:cs="Arial"/>
          <w:color w:val="010000"/>
          <w:sz w:val="20"/>
          <w:szCs w:val="20"/>
        </w:rPr>
      </w:pPr>
      <w:r>
        <w:rPr>
          <w:rFonts w:ascii="Arial" w:hAnsi="Arial"/>
          <w:color w:val="010000"/>
          <w:sz w:val="20"/>
        </w:rPr>
        <w:t>Record date: May 3, 2024</w:t>
      </w:r>
    </w:p>
    <w:p w:rsidR="001E1C4A" w:rsidRDefault="00C96D16" w:rsidP="00C96D16">
      <w:pPr>
        <w:numPr>
          <w:ilvl w:val="0"/>
          <w:numId w:val="2"/>
        </w:numPr>
        <w:pBdr>
          <w:top w:val="nil"/>
          <w:left w:val="nil"/>
          <w:bottom w:val="nil"/>
          <w:right w:val="nil"/>
          <w:between w:val="nil"/>
        </w:pBdr>
        <w:tabs>
          <w:tab w:val="left" w:pos="432"/>
          <w:tab w:val="left" w:pos="2515"/>
        </w:tabs>
        <w:spacing w:after="120" w:line="360" w:lineRule="auto"/>
        <w:jc w:val="both"/>
        <w:rPr>
          <w:rFonts w:ascii="Arial" w:eastAsia="Arial" w:hAnsi="Arial" w:cs="Arial"/>
          <w:color w:val="010000"/>
          <w:sz w:val="20"/>
          <w:szCs w:val="20"/>
        </w:rPr>
      </w:pPr>
      <w:r>
        <w:rPr>
          <w:rFonts w:ascii="Arial" w:hAnsi="Arial"/>
          <w:color w:val="010000"/>
          <w:sz w:val="20"/>
        </w:rPr>
        <w:t>Convening date of</w:t>
      </w:r>
      <w:r>
        <w:rPr>
          <w:rFonts w:ascii="Arial" w:hAnsi="Arial"/>
          <w:color w:val="010000"/>
          <w:sz w:val="20"/>
        </w:rPr>
        <w:t xml:space="preserve"> the Annual General Meeting:</w:t>
      </w:r>
      <w:r>
        <w:rPr>
          <w:rFonts w:ascii="Arial" w:hAnsi="Arial"/>
          <w:color w:val="010000"/>
          <w:sz w:val="20"/>
        </w:rPr>
        <w:t xml:space="preserve"> </w:t>
      </w:r>
      <w:r>
        <w:rPr>
          <w:rFonts w:ascii="Arial" w:hAnsi="Arial"/>
          <w:color w:val="010000"/>
          <w:sz w:val="20"/>
        </w:rPr>
        <w:t>Expected on May 17, 2024 (Friday). S</w:t>
      </w:r>
      <w:r>
        <w:rPr>
          <w:rFonts w:ascii="Arial" w:hAnsi="Arial"/>
          <w:color w:val="010000"/>
          <w:sz w:val="20"/>
        </w:rPr>
        <w:t>pecific date is determined</w:t>
      </w:r>
      <w:r>
        <w:rPr>
          <w:rFonts w:ascii="Arial" w:hAnsi="Arial"/>
          <w:color w:val="010000"/>
          <w:sz w:val="20"/>
        </w:rPr>
        <w:t xml:space="preserve"> the company's report.</w:t>
      </w:r>
    </w:p>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Venue:</w:t>
      </w:r>
      <w:r>
        <w:rPr>
          <w:rFonts w:ascii="Arial" w:hAnsi="Arial"/>
          <w:color w:val="010000"/>
          <w:sz w:val="20"/>
        </w:rPr>
        <w:t xml:space="preserve"> Meeting room on the 2nd floor, Yen Phong Factory, Lot CN 15-2 of the extended Yen Phong Industrial Park, Yen </w:t>
      </w:r>
      <w:proofErr w:type="spellStart"/>
      <w:r>
        <w:rPr>
          <w:rFonts w:ascii="Arial" w:hAnsi="Arial"/>
          <w:color w:val="010000"/>
          <w:sz w:val="20"/>
        </w:rPr>
        <w:t>Trung</w:t>
      </w:r>
      <w:proofErr w:type="spellEnd"/>
      <w:r>
        <w:rPr>
          <w:rFonts w:ascii="Arial" w:hAnsi="Arial"/>
          <w:color w:val="010000"/>
          <w:sz w:val="20"/>
        </w:rPr>
        <w:t xml:space="preserve"> Commune, Yen Phong District, Bac </w:t>
      </w:r>
      <w:proofErr w:type="spellStart"/>
      <w:r>
        <w:rPr>
          <w:rFonts w:ascii="Arial" w:hAnsi="Arial"/>
          <w:color w:val="010000"/>
          <w:sz w:val="20"/>
        </w:rPr>
        <w:t>Ninh</w:t>
      </w:r>
      <w:proofErr w:type="spellEnd"/>
      <w:r>
        <w:rPr>
          <w:rFonts w:ascii="Arial" w:hAnsi="Arial"/>
          <w:color w:val="010000"/>
          <w:sz w:val="20"/>
        </w:rPr>
        <w:t xml:space="preserve"> Province.</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
        <w:gridCol w:w="6315"/>
        <w:gridCol w:w="2114"/>
      </w:tblGrid>
      <w:tr w:rsidR="001E1C4A">
        <w:tc>
          <w:tcPr>
            <w:tcW w:w="588"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6315"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w:t>
            </w:r>
            <w:r>
              <w:rPr>
                <w:rFonts w:ascii="Arial" w:hAnsi="Arial"/>
                <w:color w:val="010000"/>
                <w:sz w:val="20"/>
              </w:rPr>
              <w:t>eting contents</w:t>
            </w:r>
          </w:p>
        </w:tc>
        <w:tc>
          <w:tcPr>
            <w:tcW w:w="2114"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Note</w:t>
            </w:r>
          </w:p>
        </w:tc>
      </w:tr>
      <w:tr w:rsidR="001E1C4A">
        <w:tc>
          <w:tcPr>
            <w:tcW w:w="588"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w:t>
            </w:r>
          </w:p>
        </w:tc>
        <w:tc>
          <w:tcPr>
            <w:tcW w:w="6315"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Regarding the reports prior to the General Meeting as per general regulations:</w:t>
            </w:r>
          </w:p>
        </w:tc>
        <w:tc>
          <w:tcPr>
            <w:tcW w:w="2114"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88"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p w:rsidR="001E1C4A" w:rsidRDefault="001E1C4A" w:rsidP="00C96D16">
            <w:pPr>
              <w:pBdr>
                <w:top w:val="nil"/>
                <w:left w:val="nil"/>
                <w:bottom w:val="nil"/>
                <w:right w:val="nil"/>
                <w:between w:val="nil"/>
              </w:pBdr>
              <w:tabs>
                <w:tab w:val="left" w:pos="514"/>
              </w:tabs>
              <w:spacing w:after="120" w:line="360" w:lineRule="auto"/>
              <w:jc w:val="both"/>
              <w:rPr>
                <w:rFonts w:ascii="Arial" w:eastAsia="Arial" w:hAnsi="Arial" w:cs="Arial"/>
                <w:color w:val="010000"/>
                <w:sz w:val="20"/>
                <w:szCs w:val="20"/>
              </w:rPr>
            </w:pPr>
          </w:p>
        </w:tc>
        <w:tc>
          <w:tcPr>
            <w:tcW w:w="6315"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Report on the company's production and business activities in 2023 and the plan for 2024 (prepared by the Executive Board).</w:t>
            </w:r>
          </w:p>
        </w:tc>
        <w:tc>
          <w:tcPr>
            <w:tcW w:w="2114"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88" w:type="dxa"/>
            <w:shd w:val="clear" w:color="auto" w:fill="auto"/>
            <w:tcMar>
              <w:top w:w="0" w:type="dxa"/>
              <w:bottom w:w="0" w:type="dxa"/>
            </w:tcMar>
            <w:vAlign w:val="center"/>
          </w:tcPr>
          <w:p w:rsidR="001E1C4A" w:rsidRDefault="00C96D16" w:rsidP="00C96D16">
            <w:pPr>
              <w:spacing w:after="120" w:line="360" w:lineRule="auto"/>
              <w:jc w:val="both"/>
              <w:rPr>
                <w:rFonts w:ascii="Arial" w:eastAsia="Arial" w:hAnsi="Arial" w:cs="Arial"/>
                <w:color w:val="010000"/>
                <w:sz w:val="20"/>
                <w:szCs w:val="20"/>
              </w:rPr>
            </w:pPr>
            <w:r>
              <w:rPr>
                <w:rFonts w:ascii="Arial" w:hAnsi="Arial"/>
                <w:color w:val="010000"/>
                <w:sz w:val="20"/>
              </w:rPr>
              <w:t>2</w:t>
            </w:r>
          </w:p>
        </w:tc>
        <w:tc>
          <w:tcPr>
            <w:tcW w:w="6315"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Report of the Board of Directors (regarding the governance and performance of the Board of Directors and each member of the Board of Directors) in 2023, and the plan for 2024 of the Board of Directors.</w:t>
            </w:r>
          </w:p>
        </w:tc>
        <w:tc>
          <w:tcPr>
            <w:tcW w:w="2114"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88"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6315"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Report of the Supervisory Board (regarding the bus</w:t>
            </w:r>
            <w:r>
              <w:rPr>
                <w:rFonts w:ascii="Arial" w:hAnsi="Arial"/>
                <w:color w:val="010000"/>
                <w:sz w:val="20"/>
              </w:rPr>
              <w:t>iness results of the company, the performance of the Board of Directors, and the Manager (General Manager)); the Audited Financial Statements’ assessment of the Supervisory Board;</w:t>
            </w:r>
            <w:r>
              <w:rPr>
                <w:rFonts w:ascii="Arial" w:hAnsi="Arial"/>
                <w:color w:val="010000"/>
                <w:sz w:val="20"/>
              </w:rPr>
              <w:t xml:space="preserve"> </w:t>
            </w:r>
            <w:r>
              <w:rPr>
                <w:rFonts w:ascii="Arial" w:hAnsi="Arial"/>
                <w:color w:val="010000"/>
                <w:sz w:val="20"/>
              </w:rPr>
              <w:t>Self-assessment report on the performance results of the Supervisory Board a</w:t>
            </w:r>
            <w:r>
              <w:rPr>
                <w:rFonts w:ascii="Arial" w:hAnsi="Arial"/>
                <w:color w:val="010000"/>
                <w:sz w:val="20"/>
              </w:rPr>
              <w:t>nd supervisors in 2023, plan for 2024.</w:t>
            </w:r>
          </w:p>
        </w:tc>
        <w:tc>
          <w:tcPr>
            <w:tcW w:w="2114" w:type="dxa"/>
            <w:shd w:val="clear" w:color="auto" w:fill="auto"/>
            <w:tcMar>
              <w:top w:w="0" w:type="dxa"/>
              <w:bottom w:w="0" w:type="dxa"/>
            </w:tcMar>
            <w:vAlign w:val="center"/>
          </w:tcPr>
          <w:p w:rsidR="001E1C4A" w:rsidRDefault="001E1C4A" w:rsidP="00C96D16">
            <w:pPr>
              <w:pBdr>
                <w:top w:val="nil"/>
                <w:left w:val="nil"/>
                <w:bottom w:val="nil"/>
                <w:right w:val="nil"/>
                <w:between w:val="nil"/>
              </w:pBdr>
              <w:spacing w:after="120" w:line="360" w:lineRule="auto"/>
              <w:jc w:val="both"/>
              <w:rPr>
                <w:rFonts w:ascii="Arial" w:eastAsia="Arial" w:hAnsi="Arial" w:cs="Arial"/>
                <w:color w:val="010000"/>
                <w:sz w:val="20"/>
                <w:szCs w:val="20"/>
              </w:rPr>
            </w:pPr>
          </w:p>
          <w:p w:rsidR="001E1C4A" w:rsidRDefault="001E1C4A" w:rsidP="00C96D16">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1E1C4A">
        <w:tc>
          <w:tcPr>
            <w:tcW w:w="588"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II</w:t>
            </w:r>
          </w:p>
        </w:tc>
        <w:tc>
          <w:tcPr>
            <w:tcW w:w="6315"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Regarding the Expected Proposals for the General Meeting</w:t>
            </w:r>
          </w:p>
        </w:tc>
        <w:tc>
          <w:tcPr>
            <w:tcW w:w="2114"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88"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6315"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Proposal on approving the Audited Financial Statements.</w:t>
            </w:r>
          </w:p>
        </w:tc>
        <w:tc>
          <w:tcPr>
            <w:tcW w:w="2114"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88"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6315"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Proposal on approving Mr. Trinh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Hieu's</w:t>
            </w:r>
            <w:proofErr w:type="spellEnd"/>
            <w:r>
              <w:rPr>
                <w:rFonts w:ascii="Arial" w:hAnsi="Arial"/>
                <w:color w:val="010000"/>
                <w:sz w:val="20"/>
              </w:rPr>
              <w:t xml:space="preserve"> acceptance of transfer and exemption from public offering.</w:t>
            </w:r>
          </w:p>
        </w:tc>
        <w:tc>
          <w:tcPr>
            <w:tcW w:w="2114"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88"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6315"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Proposal on profit distribution and appropriation for funds in 2023.</w:t>
            </w:r>
          </w:p>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Proposal on the dividend distribution for 2023 and authorization for the Board of Directors to determine the dividend payment date.</w:t>
            </w:r>
          </w:p>
        </w:tc>
        <w:tc>
          <w:tcPr>
            <w:tcW w:w="2114"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88" w:type="dxa"/>
            <w:shd w:val="clear" w:color="auto" w:fill="auto"/>
            <w:tcMar>
              <w:top w:w="0" w:type="dxa"/>
              <w:bottom w:w="0" w:type="dxa"/>
            </w:tcMar>
            <w:vAlign w:val="center"/>
          </w:tcPr>
          <w:p w:rsidR="001E1C4A" w:rsidRDefault="00C96D16" w:rsidP="00C96D16">
            <w:pPr>
              <w:numPr>
                <w:ilvl w:val="0"/>
                <w:numId w:val="3"/>
              </w:numPr>
              <w:pBdr>
                <w:top w:val="nil"/>
                <w:left w:val="nil"/>
                <w:bottom w:val="nil"/>
                <w:right w:val="nil"/>
                <w:between w:val="nil"/>
              </w:pBdr>
              <w:tabs>
                <w:tab w:val="left" w:pos="512"/>
              </w:tabs>
              <w:spacing w:after="120" w:line="360" w:lineRule="auto"/>
              <w:jc w:val="both"/>
              <w:rPr>
                <w:rFonts w:ascii="Arial" w:eastAsia="Arial" w:hAnsi="Arial" w:cs="Arial"/>
                <w:color w:val="010000"/>
                <w:sz w:val="20"/>
                <w:szCs w:val="20"/>
              </w:rPr>
            </w:pPr>
            <w:r>
              <w:rPr>
                <w:rFonts w:ascii="Arial" w:hAnsi="Arial"/>
                <w:color w:val="010000"/>
                <w:sz w:val="20"/>
              </w:rPr>
              <w:t>7</w:t>
            </w:r>
          </w:p>
        </w:tc>
        <w:tc>
          <w:tcPr>
            <w:tcW w:w="6315"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Proposal related to the expected dividend distribution in 2024.</w:t>
            </w:r>
            <w:r>
              <w:rPr>
                <w:rFonts w:ascii="Arial" w:hAnsi="Arial"/>
                <w:color w:val="010000"/>
                <w:sz w:val="20"/>
              </w:rPr>
              <w:t xml:space="preserve"> </w:t>
            </w:r>
          </w:p>
        </w:tc>
        <w:tc>
          <w:tcPr>
            <w:tcW w:w="2114" w:type="dxa"/>
            <w:shd w:val="clear" w:color="auto" w:fill="auto"/>
            <w:tcMar>
              <w:top w:w="0" w:type="dxa"/>
              <w:bottom w:w="0" w:type="dxa"/>
            </w:tcMar>
            <w:vAlign w:val="center"/>
          </w:tcPr>
          <w:p w:rsidR="001E1C4A" w:rsidRDefault="001E1C4A" w:rsidP="00C96D16">
            <w:pPr>
              <w:pBdr>
                <w:top w:val="nil"/>
                <w:left w:val="nil"/>
                <w:bottom w:val="nil"/>
                <w:right w:val="nil"/>
                <w:between w:val="nil"/>
              </w:pBdr>
              <w:tabs>
                <w:tab w:val="left" w:pos="437"/>
                <w:tab w:val="right" w:pos="2069"/>
              </w:tabs>
              <w:spacing w:after="120" w:line="360" w:lineRule="auto"/>
              <w:jc w:val="both"/>
              <w:rPr>
                <w:rFonts w:ascii="Arial" w:eastAsia="Arial" w:hAnsi="Arial" w:cs="Arial"/>
                <w:color w:val="010000"/>
                <w:sz w:val="20"/>
                <w:szCs w:val="20"/>
              </w:rPr>
            </w:pPr>
          </w:p>
        </w:tc>
      </w:tr>
      <w:tr w:rsidR="001E1C4A">
        <w:tc>
          <w:tcPr>
            <w:tcW w:w="588" w:type="dxa"/>
            <w:shd w:val="clear" w:color="auto" w:fill="auto"/>
            <w:tcMar>
              <w:top w:w="0" w:type="dxa"/>
              <w:bottom w:w="0" w:type="dxa"/>
            </w:tcMar>
            <w:vAlign w:val="center"/>
          </w:tcPr>
          <w:p w:rsidR="001E1C4A" w:rsidRDefault="001E1C4A" w:rsidP="00C96D16">
            <w:pPr>
              <w:numPr>
                <w:ilvl w:val="0"/>
                <w:numId w:val="3"/>
              </w:numPr>
              <w:pBdr>
                <w:top w:val="nil"/>
                <w:left w:val="nil"/>
                <w:bottom w:val="nil"/>
                <w:right w:val="nil"/>
                <w:between w:val="nil"/>
              </w:pBdr>
              <w:tabs>
                <w:tab w:val="left" w:pos="498"/>
              </w:tabs>
              <w:spacing w:after="120" w:line="360" w:lineRule="auto"/>
              <w:jc w:val="both"/>
              <w:rPr>
                <w:rFonts w:ascii="Arial" w:eastAsia="Arial" w:hAnsi="Arial" w:cs="Arial"/>
                <w:color w:val="010000"/>
                <w:sz w:val="20"/>
                <w:szCs w:val="20"/>
              </w:rPr>
            </w:pPr>
          </w:p>
        </w:tc>
        <w:tc>
          <w:tcPr>
            <w:tcW w:w="6315"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Proposal on selecting an audit company in 2024</w:t>
            </w:r>
          </w:p>
        </w:tc>
        <w:tc>
          <w:tcPr>
            <w:tcW w:w="2114" w:type="dxa"/>
            <w:shd w:val="clear" w:color="auto" w:fill="auto"/>
            <w:tcMar>
              <w:top w:w="0" w:type="dxa"/>
              <w:bottom w:w="0" w:type="dxa"/>
            </w:tcMar>
            <w:vAlign w:val="center"/>
          </w:tcPr>
          <w:p w:rsidR="001E1C4A" w:rsidRDefault="001E1C4A" w:rsidP="00C96D16">
            <w:pPr>
              <w:pBdr>
                <w:top w:val="nil"/>
                <w:left w:val="nil"/>
                <w:bottom w:val="nil"/>
                <w:right w:val="nil"/>
                <w:between w:val="nil"/>
              </w:pBdr>
              <w:tabs>
                <w:tab w:val="left" w:pos="437"/>
                <w:tab w:val="right" w:pos="2069"/>
              </w:tabs>
              <w:spacing w:after="120" w:line="360" w:lineRule="auto"/>
              <w:jc w:val="both"/>
              <w:rPr>
                <w:rFonts w:ascii="Arial" w:eastAsia="Arial" w:hAnsi="Arial" w:cs="Arial"/>
                <w:color w:val="010000"/>
                <w:sz w:val="20"/>
                <w:szCs w:val="20"/>
              </w:rPr>
            </w:pPr>
          </w:p>
        </w:tc>
      </w:tr>
      <w:tr w:rsidR="001E1C4A">
        <w:tc>
          <w:tcPr>
            <w:tcW w:w="588"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w:t>
            </w:r>
          </w:p>
        </w:tc>
        <w:tc>
          <w:tcPr>
            <w:tcW w:w="6315"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Proposal on the remuneration of the Board of Directors and </w:t>
            </w:r>
            <w:r>
              <w:rPr>
                <w:rFonts w:ascii="Arial" w:hAnsi="Arial"/>
                <w:color w:val="010000"/>
                <w:sz w:val="20"/>
              </w:rPr>
              <w:t xml:space="preserve"> the Supervisory Board for 2024</w:t>
            </w:r>
          </w:p>
        </w:tc>
        <w:tc>
          <w:tcPr>
            <w:tcW w:w="2114"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III</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Election/Dismissal/Re-election:</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Proposal on the re-election of 01 member of the Board of Directors:</w:t>
            </w:r>
            <w:r>
              <w:rPr>
                <w:rFonts w:ascii="Arial" w:hAnsi="Arial"/>
                <w:color w:val="010000"/>
                <w:sz w:val="20"/>
              </w:rPr>
              <w:t xml:space="preserve"> Mr. Nguyen Thai Duong (5-year term ended).</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bl>
    <w:p w:rsidR="001E1C4A" w:rsidRDefault="00C96D16" w:rsidP="00C96D16">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And other issues under the authority of the General Meeting</w:t>
      </w:r>
      <w:r>
        <w:rPr>
          <w:rFonts w:ascii="Arial" w:hAnsi="Arial"/>
          <w:color w:val="010000"/>
          <w:sz w:val="20"/>
        </w:rPr>
        <w:t>.</w:t>
      </w:r>
    </w:p>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official content to be presented at the meeting will be announced by the company in accordance with the regulations of the law and the company's Charter for shareholders to k</w:t>
      </w:r>
      <w:r>
        <w:rPr>
          <w:rFonts w:ascii="Arial" w:hAnsi="Arial"/>
          <w:color w:val="010000"/>
          <w:sz w:val="20"/>
        </w:rPr>
        <w:t>now.</w:t>
      </w:r>
      <w:r>
        <w:rPr>
          <w:rFonts w:ascii="Arial" w:hAnsi="Arial"/>
          <w:color w:val="010000"/>
          <w:sz w:val="20"/>
        </w:rPr>
        <w:t xml:space="preserve"> </w:t>
      </w:r>
      <w:r>
        <w:rPr>
          <w:rFonts w:ascii="Arial" w:hAnsi="Arial"/>
          <w:color w:val="010000"/>
          <w:sz w:val="20"/>
        </w:rPr>
        <w:t>The documents related to the General Meeting are posted on the company's website:</w:t>
      </w:r>
      <w:r>
        <w:rPr>
          <w:rFonts w:ascii="Arial" w:hAnsi="Arial"/>
          <w:color w:val="010000"/>
          <w:sz w:val="20"/>
        </w:rPr>
        <w:t xml:space="preserve"> http://huunghi.com.vn)</w:t>
      </w:r>
    </w:p>
    <w:p w:rsidR="001E1C4A" w:rsidRDefault="00C96D16" w:rsidP="00C96D1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on assigning Mr. Ta Nguyen Hai, Deputy Managing Director to direct</w:t>
      </w:r>
      <w:r>
        <w:rPr>
          <w:rFonts w:ascii="Arial" w:hAnsi="Arial"/>
          <w:color w:val="010000"/>
          <w:sz w:val="20"/>
        </w:rPr>
        <w:t xml:space="preserve"> and implement </w:t>
      </w:r>
    </w:p>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plan.</w:t>
      </w:r>
    </w:p>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full text of the m</w:t>
      </w:r>
      <w:r>
        <w:rPr>
          <w:rFonts w:ascii="Arial" w:hAnsi="Arial"/>
          <w:color w:val="010000"/>
          <w:sz w:val="20"/>
        </w:rPr>
        <w:t>eeting dossiers.</w:t>
      </w:r>
      <w:r>
        <w:rPr>
          <w:rFonts w:ascii="Arial" w:hAnsi="Arial"/>
          <w:color w:val="010000"/>
          <w:sz w:val="20"/>
        </w:rPr>
        <w:t xml:space="preserve"> </w:t>
      </w:r>
      <w:r>
        <w:rPr>
          <w:rFonts w:ascii="Arial" w:hAnsi="Arial"/>
          <w:color w:val="010000"/>
          <w:sz w:val="20"/>
        </w:rPr>
        <w:t>Specifically:</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6339"/>
        <w:gridCol w:w="2119"/>
      </w:tblGrid>
      <w:tr w:rsidR="001E1C4A">
        <w:tc>
          <w:tcPr>
            <w:tcW w:w="55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633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Meeting contents</w:t>
            </w:r>
          </w:p>
        </w:tc>
        <w:tc>
          <w:tcPr>
            <w:tcW w:w="211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Note</w:t>
            </w:r>
          </w:p>
        </w:tc>
      </w:tr>
      <w:tr w:rsidR="001E1C4A">
        <w:tc>
          <w:tcPr>
            <w:tcW w:w="55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w:t>
            </w:r>
          </w:p>
        </w:tc>
        <w:tc>
          <w:tcPr>
            <w:tcW w:w="633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Regarding the reports prior to the General Meeting as per general regulations:</w:t>
            </w:r>
          </w:p>
        </w:tc>
        <w:tc>
          <w:tcPr>
            <w:tcW w:w="2119"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5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633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Report on the company's production and business activities in 2023 and the plan for 2024 (Report No. 56/BC-TPHN dated April 9, 2024).</w:t>
            </w:r>
          </w:p>
        </w:tc>
        <w:tc>
          <w:tcPr>
            <w:tcW w:w="2119"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5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6339" w:type="dxa"/>
            <w:shd w:val="clear" w:color="auto" w:fill="auto"/>
            <w:tcMar>
              <w:top w:w="0" w:type="dxa"/>
              <w:bottom w:w="0" w:type="dxa"/>
            </w:tcMar>
            <w:vAlign w:val="center"/>
          </w:tcPr>
          <w:p w:rsidR="001E1C4A" w:rsidRDefault="00C96D16" w:rsidP="00C96D16">
            <w:pPr>
              <w:pBdr>
                <w:top w:val="nil"/>
                <w:left w:val="nil"/>
                <w:bottom w:val="nil"/>
                <w:right w:val="nil"/>
                <w:between w:val="nil"/>
              </w:pBdr>
              <w:tabs>
                <w:tab w:val="left" w:pos="5396"/>
              </w:tabs>
              <w:spacing w:after="120" w:line="360" w:lineRule="auto"/>
              <w:jc w:val="both"/>
              <w:rPr>
                <w:rFonts w:ascii="Arial" w:eastAsia="Arial" w:hAnsi="Arial" w:cs="Arial"/>
                <w:color w:val="010000"/>
                <w:sz w:val="20"/>
                <w:szCs w:val="20"/>
              </w:rPr>
            </w:pPr>
            <w:r>
              <w:rPr>
                <w:rFonts w:ascii="Arial" w:hAnsi="Arial"/>
                <w:color w:val="010000"/>
                <w:sz w:val="20"/>
              </w:rPr>
              <w:t>Report of the Board of Directors (regarding the governance and performance of the Board of Directors and each member of the Board of Directors) in 2023 and the plan for 2024 of the Board of Directors (Report No. 55/BC-TPHN dated April 9, 2024).</w:t>
            </w:r>
          </w:p>
        </w:tc>
        <w:tc>
          <w:tcPr>
            <w:tcW w:w="2119" w:type="dxa"/>
            <w:shd w:val="clear" w:color="auto" w:fill="auto"/>
            <w:tcMar>
              <w:top w:w="0" w:type="dxa"/>
              <w:bottom w:w="0" w:type="dxa"/>
            </w:tcMar>
            <w:vAlign w:val="center"/>
          </w:tcPr>
          <w:p w:rsidR="001E1C4A" w:rsidRDefault="001E1C4A" w:rsidP="00C96D16">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1E1C4A">
        <w:tc>
          <w:tcPr>
            <w:tcW w:w="55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633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Report </w:t>
            </w:r>
            <w:r>
              <w:rPr>
                <w:rFonts w:ascii="Arial" w:hAnsi="Arial"/>
                <w:color w:val="010000"/>
                <w:sz w:val="20"/>
              </w:rPr>
              <w:t>of the Supervisory Board (regarding the business results of the company, the performance of the Board of Directors, and the Manager (General Manager)</w:t>
            </w:r>
            <w:proofErr w:type="gramStart"/>
            <w:r>
              <w:rPr>
                <w:rFonts w:ascii="Arial" w:hAnsi="Arial"/>
                <w:color w:val="010000"/>
                <w:sz w:val="20"/>
              </w:rPr>
              <w:t xml:space="preserve">); </w:t>
            </w:r>
            <w:r>
              <w:rPr>
                <w:rFonts w:ascii="Arial" w:hAnsi="Arial"/>
                <w:color w:val="010000"/>
                <w:sz w:val="20"/>
              </w:rPr>
              <w:t xml:space="preserve"> </w:t>
            </w:r>
            <w:r>
              <w:rPr>
                <w:rFonts w:ascii="Arial" w:hAnsi="Arial"/>
                <w:color w:val="010000"/>
                <w:sz w:val="20"/>
              </w:rPr>
              <w:t>the</w:t>
            </w:r>
            <w:proofErr w:type="gramEnd"/>
            <w:r>
              <w:rPr>
                <w:rFonts w:ascii="Arial" w:hAnsi="Arial"/>
                <w:color w:val="010000"/>
                <w:sz w:val="20"/>
              </w:rPr>
              <w:t xml:space="preserve"> Audited Financial Statements’ assessment of the Supervisory Board:</w:t>
            </w:r>
            <w:r>
              <w:rPr>
                <w:rFonts w:ascii="Arial" w:hAnsi="Arial"/>
                <w:color w:val="010000"/>
                <w:sz w:val="20"/>
              </w:rPr>
              <w:t xml:space="preserve"> </w:t>
            </w:r>
            <w:r>
              <w:rPr>
                <w:rFonts w:ascii="Arial" w:hAnsi="Arial"/>
                <w:color w:val="010000"/>
                <w:sz w:val="20"/>
              </w:rPr>
              <w:t>Self-assessment report on the pe</w:t>
            </w:r>
            <w:r>
              <w:rPr>
                <w:rFonts w:ascii="Arial" w:hAnsi="Arial"/>
                <w:color w:val="010000"/>
                <w:sz w:val="20"/>
              </w:rPr>
              <w:t>rformance results of the Supervisory Board and supervisors in 2023, plan for 2024. (Report No. 57/BC-TPHN dated April 09, 2024).</w:t>
            </w:r>
          </w:p>
        </w:tc>
        <w:tc>
          <w:tcPr>
            <w:tcW w:w="2119" w:type="dxa"/>
            <w:shd w:val="clear" w:color="auto" w:fill="auto"/>
            <w:tcMar>
              <w:top w:w="0" w:type="dxa"/>
              <w:bottom w:w="0" w:type="dxa"/>
            </w:tcMar>
            <w:vAlign w:val="center"/>
          </w:tcPr>
          <w:p w:rsidR="001E1C4A" w:rsidRDefault="001E1C4A" w:rsidP="00C96D16">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1E1C4A">
        <w:tc>
          <w:tcPr>
            <w:tcW w:w="55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II</w:t>
            </w:r>
          </w:p>
        </w:tc>
        <w:tc>
          <w:tcPr>
            <w:tcW w:w="633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Regarding the Expected Proposals for the General Meeting</w:t>
            </w:r>
          </w:p>
        </w:tc>
        <w:tc>
          <w:tcPr>
            <w:tcW w:w="2119"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5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633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Proposal on approving the Audited Financial Statements (Proposal No. 58/</w:t>
            </w:r>
            <w:proofErr w:type="spellStart"/>
            <w:r>
              <w:rPr>
                <w:rFonts w:ascii="Arial" w:hAnsi="Arial"/>
                <w:color w:val="010000"/>
                <w:sz w:val="20"/>
              </w:rPr>
              <w:t>TTr</w:t>
            </w:r>
            <w:proofErr w:type="spellEnd"/>
            <w:r>
              <w:rPr>
                <w:rFonts w:ascii="Arial" w:hAnsi="Arial"/>
                <w:color w:val="010000"/>
                <w:sz w:val="20"/>
              </w:rPr>
              <w:t>-TPHN dated April 9, 2024).</w:t>
            </w:r>
          </w:p>
        </w:tc>
        <w:tc>
          <w:tcPr>
            <w:tcW w:w="2119"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5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633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Proposal on approving Mr. Trinh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Hieu's</w:t>
            </w:r>
            <w:proofErr w:type="spellEnd"/>
            <w:r>
              <w:rPr>
                <w:rFonts w:ascii="Arial" w:hAnsi="Arial"/>
                <w:color w:val="010000"/>
                <w:sz w:val="20"/>
              </w:rPr>
              <w:t xml:space="preserve"> acceptance of transfer and exemption from public offering (Proposal No. 59/</w:t>
            </w:r>
            <w:proofErr w:type="spellStart"/>
            <w:r>
              <w:rPr>
                <w:rFonts w:ascii="Arial" w:hAnsi="Arial"/>
                <w:color w:val="010000"/>
                <w:sz w:val="20"/>
              </w:rPr>
              <w:t>TTr</w:t>
            </w:r>
            <w:proofErr w:type="spellEnd"/>
            <w:r>
              <w:rPr>
                <w:rFonts w:ascii="Arial" w:hAnsi="Arial"/>
                <w:color w:val="010000"/>
                <w:sz w:val="20"/>
              </w:rPr>
              <w:t xml:space="preserve">-TPHN dated </w:t>
            </w:r>
            <w:r>
              <w:rPr>
                <w:rFonts w:ascii="Arial" w:hAnsi="Arial"/>
                <w:color w:val="010000"/>
                <w:sz w:val="20"/>
              </w:rPr>
              <w:lastRenderedPageBreak/>
              <w:t>April 9, 2024).</w:t>
            </w:r>
          </w:p>
        </w:tc>
        <w:tc>
          <w:tcPr>
            <w:tcW w:w="2119" w:type="dxa"/>
            <w:shd w:val="clear" w:color="auto" w:fill="auto"/>
            <w:tcMar>
              <w:top w:w="0" w:type="dxa"/>
              <w:bottom w:w="0" w:type="dxa"/>
            </w:tcMar>
            <w:vAlign w:val="center"/>
          </w:tcPr>
          <w:p w:rsidR="001E1C4A" w:rsidRDefault="001E1C4A" w:rsidP="00C96D16">
            <w:pPr>
              <w:pBdr>
                <w:top w:val="nil"/>
                <w:left w:val="nil"/>
                <w:bottom w:val="nil"/>
                <w:right w:val="nil"/>
                <w:between w:val="nil"/>
              </w:pBdr>
              <w:tabs>
                <w:tab w:val="right" w:pos="2131"/>
              </w:tabs>
              <w:spacing w:after="120" w:line="360" w:lineRule="auto"/>
              <w:jc w:val="both"/>
              <w:rPr>
                <w:rFonts w:ascii="Arial" w:eastAsia="Arial" w:hAnsi="Arial" w:cs="Arial"/>
                <w:color w:val="010000"/>
                <w:sz w:val="20"/>
                <w:szCs w:val="20"/>
              </w:rPr>
            </w:pPr>
          </w:p>
        </w:tc>
      </w:tr>
      <w:tr w:rsidR="001E1C4A">
        <w:tc>
          <w:tcPr>
            <w:tcW w:w="55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6</w:t>
            </w:r>
          </w:p>
        </w:tc>
        <w:tc>
          <w:tcPr>
            <w:tcW w:w="633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Proposal on profit distribution and appropriation for funds in 2023 (Proposal No. 60/</w:t>
            </w:r>
            <w:proofErr w:type="spellStart"/>
            <w:r>
              <w:rPr>
                <w:rFonts w:ascii="Arial" w:hAnsi="Arial"/>
                <w:color w:val="010000"/>
                <w:sz w:val="20"/>
              </w:rPr>
              <w:t>TTr</w:t>
            </w:r>
            <w:proofErr w:type="spellEnd"/>
            <w:r>
              <w:rPr>
                <w:rFonts w:ascii="Arial" w:hAnsi="Arial"/>
                <w:color w:val="010000"/>
                <w:sz w:val="20"/>
              </w:rPr>
              <w:t>-TPHN dated April 9, 2024).</w:t>
            </w:r>
          </w:p>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Proposal on the dividend distribution for 2023 and authorization for the Board of Directors to determine the dividend payment date (Proposal</w:t>
            </w:r>
            <w:r>
              <w:rPr>
                <w:rFonts w:ascii="Arial" w:hAnsi="Arial"/>
                <w:color w:val="010000"/>
                <w:sz w:val="20"/>
              </w:rPr>
              <w:t xml:space="preserve"> No. 61/</w:t>
            </w:r>
            <w:proofErr w:type="spellStart"/>
            <w:r>
              <w:rPr>
                <w:rFonts w:ascii="Arial" w:hAnsi="Arial"/>
                <w:color w:val="010000"/>
                <w:sz w:val="20"/>
              </w:rPr>
              <w:t>TTr</w:t>
            </w:r>
            <w:proofErr w:type="spellEnd"/>
            <w:r>
              <w:rPr>
                <w:rFonts w:ascii="Arial" w:hAnsi="Arial"/>
                <w:color w:val="010000"/>
                <w:sz w:val="20"/>
              </w:rPr>
              <w:t>-TPHN dated April 9, 2024).</w:t>
            </w:r>
          </w:p>
        </w:tc>
        <w:tc>
          <w:tcPr>
            <w:tcW w:w="2119"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5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633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Proposal related to the expected dividend distribution in 2024 (Proposal No. 62/</w:t>
            </w:r>
            <w:proofErr w:type="spellStart"/>
            <w:r>
              <w:rPr>
                <w:rFonts w:ascii="Arial" w:hAnsi="Arial"/>
                <w:color w:val="010000"/>
                <w:sz w:val="20"/>
              </w:rPr>
              <w:t>TTr</w:t>
            </w:r>
            <w:proofErr w:type="spellEnd"/>
            <w:r>
              <w:rPr>
                <w:rFonts w:ascii="Arial" w:hAnsi="Arial"/>
                <w:color w:val="010000"/>
                <w:sz w:val="20"/>
              </w:rPr>
              <w:t>-TPHN dated April 9, 2024).</w:t>
            </w:r>
          </w:p>
        </w:tc>
        <w:tc>
          <w:tcPr>
            <w:tcW w:w="2119"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5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6339" w:type="dxa"/>
            <w:shd w:val="clear" w:color="auto" w:fill="auto"/>
            <w:tcMar>
              <w:top w:w="0" w:type="dxa"/>
              <w:bottom w:w="0" w:type="dxa"/>
            </w:tcMar>
            <w:vAlign w:val="center"/>
          </w:tcPr>
          <w:p w:rsidR="001E1C4A" w:rsidRDefault="00C96D16" w:rsidP="00C96D16">
            <w:pPr>
              <w:pBdr>
                <w:top w:val="nil"/>
                <w:left w:val="nil"/>
                <w:bottom w:val="nil"/>
                <w:right w:val="nil"/>
                <w:between w:val="nil"/>
              </w:pBdr>
              <w:tabs>
                <w:tab w:val="left" w:pos="1130"/>
              </w:tabs>
              <w:spacing w:after="120" w:line="360" w:lineRule="auto"/>
              <w:jc w:val="both"/>
              <w:rPr>
                <w:rFonts w:ascii="Arial" w:eastAsia="Arial" w:hAnsi="Arial" w:cs="Arial"/>
                <w:color w:val="010000"/>
                <w:sz w:val="20"/>
                <w:szCs w:val="20"/>
              </w:rPr>
            </w:pPr>
            <w:r>
              <w:rPr>
                <w:rFonts w:ascii="Arial" w:hAnsi="Arial"/>
                <w:color w:val="010000"/>
                <w:sz w:val="20"/>
              </w:rPr>
              <w:t>Proposal on selecting an audit company in 2024 (Proposal No. 63/</w:t>
            </w:r>
            <w:proofErr w:type="spellStart"/>
            <w:r>
              <w:rPr>
                <w:rFonts w:ascii="Arial" w:hAnsi="Arial"/>
                <w:color w:val="010000"/>
                <w:sz w:val="20"/>
              </w:rPr>
              <w:t>TTr</w:t>
            </w:r>
            <w:proofErr w:type="spellEnd"/>
            <w:r>
              <w:rPr>
                <w:rFonts w:ascii="Arial" w:hAnsi="Arial"/>
                <w:color w:val="010000"/>
                <w:sz w:val="20"/>
              </w:rPr>
              <w:t>-TPHN dated April 9, 2024).</w:t>
            </w:r>
          </w:p>
        </w:tc>
        <w:tc>
          <w:tcPr>
            <w:tcW w:w="2119"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5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9</w:t>
            </w:r>
          </w:p>
        </w:tc>
        <w:tc>
          <w:tcPr>
            <w:tcW w:w="633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Proposal on the remuneration of the Board of Directors and the Supervisory Board for 2024 (Proposal No. 64/</w:t>
            </w:r>
            <w:proofErr w:type="spellStart"/>
            <w:r>
              <w:rPr>
                <w:rFonts w:ascii="Arial" w:hAnsi="Arial"/>
                <w:color w:val="010000"/>
                <w:sz w:val="20"/>
              </w:rPr>
              <w:t>TTr</w:t>
            </w:r>
            <w:proofErr w:type="spellEnd"/>
            <w:r>
              <w:rPr>
                <w:rFonts w:ascii="Arial" w:hAnsi="Arial"/>
                <w:color w:val="010000"/>
                <w:sz w:val="20"/>
              </w:rPr>
              <w:t>-TPHN dated April 9, 2024).</w:t>
            </w:r>
          </w:p>
        </w:tc>
        <w:tc>
          <w:tcPr>
            <w:tcW w:w="2119" w:type="dxa"/>
            <w:shd w:val="clear" w:color="auto" w:fill="auto"/>
            <w:tcMar>
              <w:top w:w="0" w:type="dxa"/>
              <w:bottom w:w="0" w:type="dxa"/>
            </w:tcMar>
            <w:vAlign w:val="center"/>
          </w:tcPr>
          <w:p w:rsidR="001E1C4A" w:rsidRDefault="001E1C4A" w:rsidP="00C96D16">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1E1C4A">
        <w:tc>
          <w:tcPr>
            <w:tcW w:w="55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III</w:t>
            </w:r>
          </w:p>
        </w:tc>
        <w:tc>
          <w:tcPr>
            <w:tcW w:w="633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Election/Dismissal/Re-election</w:t>
            </w:r>
          </w:p>
        </w:tc>
        <w:tc>
          <w:tcPr>
            <w:tcW w:w="2119"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r w:rsidR="001E1C4A">
        <w:tc>
          <w:tcPr>
            <w:tcW w:w="55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6339" w:type="dxa"/>
            <w:shd w:val="clear" w:color="auto" w:fill="auto"/>
            <w:tcMar>
              <w:top w:w="0" w:type="dxa"/>
              <w:bottom w:w="0" w:type="dxa"/>
            </w:tcMar>
            <w:vAlign w:val="center"/>
          </w:tcPr>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Proposal to re-elect 01 member of the Board of Directors: </w:t>
            </w:r>
            <w:r>
              <w:rPr>
                <w:rFonts w:ascii="Arial" w:hAnsi="Arial"/>
                <w:color w:val="010000"/>
                <w:sz w:val="20"/>
              </w:rPr>
              <w:t>Mr. Nguyen Thai Duong (5-year term ended) (Proposal No. 65/</w:t>
            </w:r>
            <w:proofErr w:type="spellStart"/>
            <w:r>
              <w:rPr>
                <w:rFonts w:ascii="Arial" w:hAnsi="Arial"/>
                <w:color w:val="010000"/>
                <w:sz w:val="20"/>
              </w:rPr>
              <w:t>TTr</w:t>
            </w:r>
            <w:proofErr w:type="spellEnd"/>
            <w:r>
              <w:rPr>
                <w:rFonts w:ascii="Arial" w:hAnsi="Arial"/>
                <w:color w:val="010000"/>
                <w:sz w:val="20"/>
              </w:rPr>
              <w:t>-TPHN dated April 9, 2024)</w:t>
            </w:r>
          </w:p>
        </w:tc>
        <w:tc>
          <w:tcPr>
            <w:tcW w:w="2119" w:type="dxa"/>
            <w:shd w:val="clear" w:color="auto" w:fill="auto"/>
            <w:tcMar>
              <w:top w:w="0" w:type="dxa"/>
              <w:bottom w:w="0" w:type="dxa"/>
            </w:tcMar>
            <w:vAlign w:val="center"/>
          </w:tcPr>
          <w:p w:rsidR="001E1C4A" w:rsidRDefault="001E1C4A" w:rsidP="00C96D16">
            <w:pPr>
              <w:spacing w:after="120" w:line="360" w:lineRule="auto"/>
              <w:jc w:val="both"/>
              <w:rPr>
                <w:rFonts w:ascii="Arial" w:eastAsia="Arial" w:hAnsi="Arial" w:cs="Arial"/>
                <w:color w:val="010000"/>
                <w:sz w:val="20"/>
                <w:szCs w:val="20"/>
              </w:rPr>
            </w:pPr>
          </w:p>
        </w:tc>
      </w:tr>
    </w:tbl>
    <w:p w:rsidR="001E1C4A" w:rsidRDefault="00C96D16" w:rsidP="00C96D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Terms of enforcement:</w:t>
      </w:r>
    </w:p>
    <w:p w:rsidR="001E1C4A" w:rsidRDefault="00C96D16" w:rsidP="00C96D16">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This Board </w:t>
      </w:r>
      <w:r>
        <w:rPr>
          <w:rFonts w:ascii="Arial" w:hAnsi="Arial"/>
          <w:color w:val="010000"/>
          <w:sz w:val="20"/>
        </w:rPr>
        <w:t>Resolution was approved by the Board of Directors; members of the Board of Directors and</w:t>
      </w:r>
      <w:r>
        <w:rPr>
          <w:rFonts w:ascii="Arial" w:hAnsi="Arial"/>
          <w:color w:val="010000"/>
          <w:sz w:val="20"/>
        </w:rPr>
        <w:t xml:space="preserve"> </w:t>
      </w:r>
      <w:r>
        <w:rPr>
          <w:rFonts w:ascii="Arial" w:hAnsi="Arial"/>
          <w:color w:val="010000"/>
          <w:sz w:val="20"/>
        </w:rPr>
        <w:t>the Executive Board, based on assigned functions and tasks, are responsible for implementing under applicable laws.</w:t>
      </w:r>
    </w:p>
    <w:p w:rsidR="001E1C4A" w:rsidRDefault="00C96D16" w:rsidP="00C96D16">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meeting minutes and reports presente</w:t>
      </w:r>
      <w:bookmarkStart w:id="0" w:name="_GoBack"/>
      <w:bookmarkEnd w:id="0"/>
      <w:r>
        <w:rPr>
          <w:rFonts w:ascii="Arial" w:hAnsi="Arial"/>
          <w:color w:val="010000"/>
          <w:sz w:val="20"/>
        </w:rPr>
        <w:t>d at the meeting are an integral part of this Resolution./.</w:t>
      </w:r>
      <w:r>
        <w:rPr>
          <w:rFonts w:ascii="Times New Roman" w:hAnsi="Times New Roman"/>
          <w:color w:val="010000"/>
          <w:sz w:val="20"/>
        </w:rPr>
        <w:t xml:space="preserve"> </w:t>
      </w:r>
    </w:p>
    <w:sectPr w:rsidR="001E1C4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B50"/>
    <w:multiLevelType w:val="multilevel"/>
    <w:tmpl w:val="3C502D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CA67502"/>
    <w:multiLevelType w:val="multilevel"/>
    <w:tmpl w:val="321A743E"/>
    <w:lvl w:ilvl="0">
      <w:start w:val="7"/>
      <w:numFmt w:val="decimal"/>
      <w:lvlText w:val="%1"/>
      <w:lvlJc w:val="left"/>
      <w:pPr>
        <w:ind w:left="0" w:firstLine="0"/>
      </w:pPr>
      <w:rPr>
        <w:rFonts w:ascii="Arial" w:eastAsia="Arial" w:hAnsi="Arial" w:cs="Arial"/>
        <w:b w:val="0"/>
        <w:i w:val="0"/>
        <w:smallCaps w:val="0"/>
        <w:strike w:val="0"/>
        <w:color w:val="1F1F2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DA4055B"/>
    <w:multiLevelType w:val="multilevel"/>
    <w:tmpl w:val="6310E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DC607E"/>
    <w:multiLevelType w:val="multilevel"/>
    <w:tmpl w:val="0D944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4A"/>
    <w:rsid w:val="001E1C4A"/>
    <w:rsid w:val="00C9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2090"/>
  <w15:docId w15:val="{46DEC5BF-D847-4C7D-961C-A64EF935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4"/>
      <w:szCs w:val="24"/>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8B0C1D"/>
      <w:sz w:val="16"/>
      <w:szCs w:val="1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sz w:val="19"/>
      <w:szCs w:val="19"/>
      <w:u w:val="none"/>
      <w:shd w:val="clear" w:color="auto" w:fill="auto"/>
    </w:rPr>
  </w:style>
  <w:style w:type="character" w:customStyle="1" w:styleId="Chthchbng">
    <w:name w:val="Chú thích bảng_"/>
    <w:basedOn w:val="DefaultParagraphFont"/>
    <w:link w:val="Chthchbng0"/>
    <w:rPr>
      <w:rFonts w:ascii="Arial" w:eastAsia="Arial" w:hAnsi="Arial" w:cs="Arial"/>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52" w:lineRule="auto"/>
      <w:ind w:firstLine="13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54" w:lineRule="auto"/>
      <w:ind w:left="340" w:firstLine="20"/>
    </w:pPr>
    <w:rPr>
      <w:rFonts w:ascii="Arial" w:eastAsia="Arial" w:hAnsi="Arial" w:cs="Arial"/>
      <w:sz w:val="22"/>
      <w:szCs w:val="22"/>
    </w:rPr>
  </w:style>
  <w:style w:type="paragraph" w:customStyle="1" w:styleId="Tiu10">
    <w:name w:val="Tiêu đề #1"/>
    <w:basedOn w:val="Normal"/>
    <w:link w:val="Tiu1"/>
    <w:pPr>
      <w:spacing w:line="235" w:lineRule="auto"/>
      <w:ind w:left="5280"/>
      <w:outlineLvl w:val="0"/>
    </w:pPr>
    <w:rPr>
      <w:rFonts w:ascii="Times New Roman" w:eastAsia="Times New Roman" w:hAnsi="Times New Roman" w:cs="Times New Roman"/>
      <w:b/>
      <w:bCs/>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60">
    <w:name w:val="Văn bản nội dung (6)"/>
    <w:basedOn w:val="Normal"/>
    <w:link w:val="Vnbnnidung6"/>
    <w:rPr>
      <w:rFonts w:ascii="Times New Roman" w:eastAsia="Times New Roman" w:hAnsi="Times New Roman" w:cs="Times New Roman"/>
      <w:color w:val="FF0000"/>
      <w:sz w:val="10"/>
      <w:szCs w:val="10"/>
    </w:rPr>
  </w:style>
  <w:style w:type="paragraph" w:customStyle="1" w:styleId="Vnbnnidung40">
    <w:name w:val="Văn bản nội dung (4)"/>
    <w:basedOn w:val="Normal"/>
    <w:link w:val="Vnbnnidung4"/>
    <w:pPr>
      <w:spacing w:line="226" w:lineRule="auto"/>
    </w:pPr>
    <w:rPr>
      <w:rFonts w:ascii="Times New Roman" w:eastAsia="Times New Roman" w:hAnsi="Times New Roman" w:cs="Times New Roman"/>
      <w:color w:val="FF0000"/>
      <w:sz w:val="16"/>
      <w:szCs w:val="16"/>
    </w:rPr>
  </w:style>
  <w:style w:type="paragraph" w:customStyle="1" w:styleId="Vnbnnidung50">
    <w:name w:val="Văn bản nội dung (5)"/>
    <w:basedOn w:val="Normal"/>
    <w:link w:val="Vnbnnidung5"/>
    <w:pPr>
      <w:spacing w:line="271" w:lineRule="auto"/>
      <w:ind w:firstLine="70"/>
      <w:jc w:val="center"/>
    </w:pPr>
    <w:rPr>
      <w:rFonts w:ascii="Arial" w:eastAsia="Arial" w:hAnsi="Arial" w:cs="Arial"/>
      <w:b/>
      <w:bCs/>
      <w:color w:val="8B0C1D"/>
      <w:sz w:val="16"/>
      <w:szCs w:val="16"/>
    </w:rPr>
  </w:style>
  <w:style w:type="paragraph" w:customStyle="1" w:styleId="Vnbnnidung30">
    <w:name w:val="Văn bản nội dung (3)"/>
    <w:basedOn w:val="Normal"/>
    <w:link w:val="Vnbnnidung3"/>
    <w:pPr>
      <w:spacing w:line="269" w:lineRule="auto"/>
      <w:ind w:firstLine="440"/>
    </w:pPr>
    <w:rPr>
      <w:rFonts w:ascii="Arial" w:eastAsia="Arial" w:hAnsi="Arial" w:cs="Arial"/>
      <w:i/>
      <w:iCs/>
      <w:sz w:val="19"/>
      <w:szCs w:val="19"/>
    </w:rPr>
  </w:style>
  <w:style w:type="paragraph" w:customStyle="1" w:styleId="Chthchbng0">
    <w:name w:val="Chú thích bảng"/>
    <w:basedOn w:val="Normal"/>
    <w:link w:val="Chthchbng"/>
    <w:pPr>
      <w:spacing w:line="348" w:lineRule="auto"/>
      <w:jc w:val="right"/>
    </w:pPr>
    <w:rPr>
      <w:rFonts w:ascii="Arial" w:eastAsia="Arial" w:hAnsi="Arial" w:cs="Arial"/>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F0brNn0iWvD3Ac1kWlKLuT0t8w==">CgMxLjA4AHIhMWM3Sm9YSWhSOWpkV29kNUxMdGF3MkdUendwMFVkTDVH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2024-04-11T04:16:00Z</dcterms:created>
  <dcterms:modified xsi:type="dcterms:W3CDTF">2024-04-11T04:16:00Z</dcterms:modified>
</cp:coreProperties>
</file>