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16BD0" w14:textId="77777777" w:rsidR="00437D12" w:rsidRPr="00BA0227" w:rsidRDefault="00BA0227" w:rsidP="00C260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HU6:</w:t>
      </w:r>
      <w:r>
        <w:rPr>
          <w:rFonts w:ascii="Arial" w:hAnsi="Arial"/>
          <w:b/>
          <w:color w:val="010000"/>
          <w:sz w:val="20"/>
        </w:rPr>
        <w:t xml:space="preserve"> Board Resolution</w:t>
      </w:r>
    </w:p>
    <w:p w14:paraId="1CC1E9B9" w14:textId="77777777" w:rsidR="00437D12" w:rsidRPr="00BA0227" w:rsidRDefault="00BA0227" w:rsidP="00C260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8, 2024, HUD6 City and Housing Development Investment Joint Stock Company announced Resolution No. 190/NQ-HDQT on the approval of the production and business results for Q1/2024 and the plan for Q2/2024, as follows: </w:t>
      </w:r>
    </w:p>
    <w:p w14:paraId="56302BE8" w14:textId="77777777" w:rsidR="00437D12" w:rsidRPr="00BA0227" w:rsidRDefault="00BA0227" w:rsidP="00C260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Approval of the production and business results for Q1/2024 and the plan for Q2/2024 with the following key targets: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757"/>
        <w:gridCol w:w="2218"/>
        <w:gridCol w:w="926"/>
        <w:gridCol w:w="1308"/>
        <w:gridCol w:w="1116"/>
        <w:gridCol w:w="1108"/>
        <w:gridCol w:w="926"/>
        <w:gridCol w:w="1127"/>
        <w:gridCol w:w="1121"/>
        <w:gridCol w:w="1116"/>
        <w:gridCol w:w="1102"/>
        <w:gridCol w:w="1124"/>
      </w:tblGrid>
      <w:tr w:rsidR="00437D12" w:rsidRPr="00BA0227" w14:paraId="515D6D85" w14:textId="77777777" w:rsidTr="00BA0227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14AFC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66802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Key targets</w:t>
            </w:r>
          </w:p>
          <w:p w14:paraId="5C80F2FC" w14:textId="77777777" w:rsidR="00437D12" w:rsidRPr="00BA0227" w:rsidRDefault="00437D12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69AB7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A5145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for 2024</w:t>
            </w:r>
          </w:p>
        </w:tc>
        <w:tc>
          <w:tcPr>
            <w:tcW w:w="1129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CA866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Q1/2024</w:t>
            </w:r>
          </w:p>
        </w:tc>
        <w:tc>
          <w:tcPr>
            <w:tcW w:w="1206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50CD9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Cumulative from the beginning of the year to the time of reporting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AB8B9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Q2</w:t>
            </w:r>
          </w:p>
        </w:tc>
      </w:tr>
      <w:tr w:rsidR="00437D12" w:rsidRPr="00BA0227" w14:paraId="725BE317" w14:textId="77777777" w:rsidTr="00BA0227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F58C4" w14:textId="77777777" w:rsidR="00437D12" w:rsidRPr="00BA0227" w:rsidRDefault="00437D12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D1BB1" w14:textId="77777777" w:rsidR="00437D12" w:rsidRPr="00BA0227" w:rsidRDefault="00437D12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C0987" w14:textId="77777777" w:rsidR="00437D12" w:rsidRPr="00BA0227" w:rsidRDefault="00437D12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64AAD" w14:textId="77777777" w:rsidR="00437D12" w:rsidRPr="00BA0227" w:rsidRDefault="00437D12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B8A87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E3DAB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65D5B" w14:textId="18780BA8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Compare to the Plan (%)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86D4F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65647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Year Plan (%)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8AED1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Compared to the same period last year (%)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77DA4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BBDC4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Year Plan (%)</w:t>
            </w:r>
          </w:p>
        </w:tc>
      </w:tr>
      <w:tr w:rsidR="00437D12" w:rsidRPr="00BA0227" w14:paraId="35E14DF5" w14:textId="77777777" w:rsidTr="00BA0227">
        <w:tc>
          <w:tcPr>
            <w:tcW w:w="2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3CFDB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9F0FA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Business Value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EA0A7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60DD9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DF5E2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E8D7B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6923A" w14:textId="77777777" w:rsidR="00437D12" w:rsidRPr="00BA0227" w:rsidRDefault="00437D12" w:rsidP="00BA0227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4C6AA" w14:textId="77777777" w:rsidR="00437D12" w:rsidRPr="00BA0227" w:rsidRDefault="00437D12" w:rsidP="00BA0227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62A85" w14:textId="77777777" w:rsidR="00437D12" w:rsidRPr="00BA0227" w:rsidRDefault="00437D12" w:rsidP="00BA0227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A0417" w14:textId="77777777" w:rsidR="00437D12" w:rsidRPr="00BA0227" w:rsidRDefault="00437D12" w:rsidP="00BA0227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B9CAE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68D23" w14:textId="77777777" w:rsidR="00437D12" w:rsidRPr="00BA0227" w:rsidRDefault="00437D12" w:rsidP="00BA0227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D12" w:rsidRPr="00BA0227" w14:paraId="33CC4DEE" w14:textId="77777777" w:rsidTr="00BA0227">
        <w:tc>
          <w:tcPr>
            <w:tcW w:w="2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88C78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1909D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value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5B9A4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FA3EA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105,000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031F5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10,000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957B2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643BF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2.30</w:t>
            </w:r>
          </w:p>
          <w:p w14:paraId="6881C86E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32031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6D7C8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0.22%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107A5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85.19</w:t>
            </w:r>
          </w:p>
          <w:p w14:paraId="0FFF25AD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5246E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14,500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36DD9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13.81</w:t>
            </w:r>
          </w:p>
          <w:p w14:paraId="6479E829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</w:tr>
      <w:tr w:rsidR="00437D12" w:rsidRPr="00BA0227" w14:paraId="60959A19" w14:textId="77777777" w:rsidTr="00BA0227">
        <w:tc>
          <w:tcPr>
            <w:tcW w:w="2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65F8E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III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C97FD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Some financial targets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F90BD" w14:textId="77777777" w:rsidR="00437D12" w:rsidRPr="00BA0227" w:rsidRDefault="00437D12" w:rsidP="00BA02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0759A" w14:textId="77777777" w:rsidR="00437D12" w:rsidRPr="00BA0227" w:rsidRDefault="00437D12" w:rsidP="00BA0227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C9812" w14:textId="77777777" w:rsidR="00437D12" w:rsidRPr="00BA0227" w:rsidRDefault="00437D12" w:rsidP="00BA0227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2BF95" w14:textId="77777777" w:rsidR="00437D12" w:rsidRPr="00BA0227" w:rsidRDefault="00437D12" w:rsidP="00BA0227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C9730" w14:textId="77777777" w:rsidR="00437D12" w:rsidRPr="00BA0227" w:rsidRDefault="00437D12" w:rsidP="00BA0227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0E12F" w14:textId="77777777" w:rsidR="00437D12" w:rsidRPr="00BA0227" w:rsidRDefault="00437D12" w:rsidP="00BA0227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B8C43" w14:textId="77777777" w:rsidR="00437D12" w:rsidRPr="00BA0227" w:rsidRDefault="00437D12" w:rsidP="00BA0227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0A50F" w14:textId="77777777" w:rsidR="00437D12" w:rsidRPr="00BA0227" w:rsidRDefault="00437D12" w:rsidP="00BA0227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8E532" w14:textId="77777777" w:rsidR="00437D12" w:rsidRPr="00BA0227" w:rsidRDefault="00437D12" w:rsidP="00BA0227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DAA94" w14:textId="77777777" w:rsidR="00437D12" w:rsidRPr="00BA0227" w:rsidRDefault="00437D12" w:rsidP="00BA0227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D12" w:rsidRPr="00BA0227" w14:paraId="54963A7A" w14:textId="77777777" w:rsidTr="00BA0227">
        <w:tc>
          <w:tcPr>
            <w:tcW w:w="2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5A2F9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A07E5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DA314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  <w:p w14:paraId="5D45E34C" w14:textId="77777777" w:rsidR="00437D12" w:rsidRPr="00BA0227" w:rsidRDefault="00437D12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DBAD1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3,000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4DD76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0C32C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C3784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100.00</w:t>
            </w:r>
          </w:p>
          <w:p w14:paraId="4E0A9633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0F4CD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C20E1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3.33%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651B9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90.91%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9F4F5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7312C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6.67%</w:t>
            </w:r>
          </w:p>
        </w:tc>
      </w:tr>
      <w:tr w:rsidR="00437D12" w:rsidRPr="00BA0227" w14:paraId="7C561555" w14:textId="77777777" w:rsidTr="00BA0227">
        <w:tc>
          <w:tcPr>
            <w:tcW w:w="2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E3DD4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6A9E2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Owners’ equity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021F6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  <w:p w14:paraId="2DB3B28F" w14:textId="77777777" w:rsidR="00437D12" w:rsidRPr="00BA0227" w:rsidRDefault="00437D12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5E9C5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77,454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611E4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77,430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9442C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77,428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93ED9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100.00</w:t>
            </w:r>
          </w:p>
          <w:p w14:paraId="5D4CF621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B2E05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77,428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17472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99.97%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D125B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100.07</w:t>
            </w:r>
          </w:p>
          <w:p w14:paraId="5005F7D6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1B139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77,428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8A170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99.97%</w:t>
            </w:r>
          </w:p>
        </w:tc>
      </w:tr>
      <w:tr w:rsidR="00437D12" w:rsidRPr="00BA0227" w14:paraId="5D2E1749" w14:textId="77777777" w:rsidTr="00BA0227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D614E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AB7E4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tax: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D7568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DC682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55E1C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86629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414D4" w14:textId="77777777" w:rsidR="00437D12" w:rsidRPr="00BA0227" w:rsidRDefault="00437D12" w:rsidP="00BA0227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FCC01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204AE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A312C" w14:textId="77777777" w:rsidR="00437D12" w:rsidRPr="00BA0227" w:rsidRDefault="00437D12" w:rsidP="00BA0227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D3409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208F2" w14:textId="77777777" w:rsidR="00437D12" w:rsidRPr="00BA0227" w:rsidRDefault="00BA0227" w:rsidP="00BA0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</w:tr>
      <w:tr w:rsidR="00BA0227" w:rsidRPr="00BA0227" w14:paraId="7356C8AF" w14:textId="77777777" w:rsidTr="00BA0227">
        <w:tblPrEx>
          <w:tblLook w:val="04A0" w:firstRow="1" w:lastRow="0" w:firstColumn="1" w:lastColumn="0" w:noHBand="0" w:noVBand="1"/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1C3C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13C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2F5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168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9A8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AEF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1B1" w14:textId="77777777" w:rsidR="00BA0227" w:rsidRPr="00BA0227" w:rsidRDefault="00BA0227" w:rsidP="00440C8F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5FC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2337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BE2F" w14:textId="77777777" w:rsidR="00BA0227" w:rsidRPr="00BA0227" w:rsidRDefault="00BA0227" w:rsidP="00440C8F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CAC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607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</w:tr>
      <w:tr w:rsidR="00BA0227" w:rsidRPr="00BA0227" w14:paraId="5695D932" w14:textId="77777777" w:rsidTr="00BA0227">
        <w:tblPrEx>
          <w:tblLook w:val="04A0" w:firstRow="1" w:lastRow="0" w:firstColumn="1" w:lastColumn="0" w:noHBand="0" w:noVBand="1"/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239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A044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tax/Owners’ equity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1856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6799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0.03%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F94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70C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897" w14:textId="77777777" w:rsidR="00BA0227" w:rsidRPr="00BA0227" w:rsidRDefault="00BA0227" w:rsidP="00440C8F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94B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B2F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425" w14:textId="77777777" w:rsidR="00BA0227" w:rsidRPr="00BA0227" w:rsidRDefault="00BA0227" w:rsidP="00440C8F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4083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FF6" w14:textId="77777777" w:rsidR="00BA0227" w:rsidRPr="00BA0227" w:rsidRDefault="00BA0227" w:rsidP="00440C8F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A0227" w:rsidRPr="00BA0227" w14:paraId="1E8C482C" w14:textId="77777777" w:rsidTr="00BA0227">
        <w:tblPrEx>
          <w:tblLook w:val="04A0" w:firstRow="1" w:lastRow="0" w:firstColumn="1" w:lastColumn="0" w:noHBand="0" w:noVBand="1"/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4248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AC4E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 to the state budget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189C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DE48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02F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FE41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969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100.00%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DB05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B8A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10.00%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D55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66.67%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1DFE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345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10.00%</w:t>
            </w:r>
          </w:p>
        </w:tc>
      </w:tr>
      <w:tr w:rsidR="00BA0227" w:rsidRPr="00BA0227" w14:paraId="30162150" w14:textId="77777777" w:rsidTr="00BA0227">
        <w:tblPrEx>
          <w:tblLook w:val="04A0" w:firstRow="1" w:lastRow="0" w:firstColumn="1" w:lastColumn="0" w:noHBand="0" w:noVBand="1"/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8C1E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FCFE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rate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88D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F9D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46E" w14:textId="77777777" w:rsidR="00BA0227" w:rsidRPr="00BA0227" w:rsidRDefault="00BA0227" w:rsidP="00440C8F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7D77" w14:textId="77777777" w:rsidR="00BA0227" w:rsidRPr="00BA0227" w:rsidRDefault="00BA0227" w:rsidP="00440C8F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21A9" w14:textId="77777777" w:rsidR="00BA0227" w:rsidRPr="00BA0227" w:rsidRDefault="00BA0227" w:rsidP="00440C8F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BA8" w14:textId="77777777" w:rsidR="00BA0227" w:rsidRPr="00BA0227" w:rsidRDefault="00BA0227" w:rsidP="00440C8F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AF03" w14:textId="77777777" w:rsidR="00BA0227" w:rsidRPr="00BA0227" w:rsidRDefault="00BA0227" w:rsidP="00440C8F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DE9" w14:textId="77777777" w:rsidR="00BA0227" w:rsidRPr="00BA0227" w:rsidRDefault="00BA0227" w:rsidP="00440C8F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E29F" w14:textId="77777777" w:rsidR="00BA0227" w:rsidRPr="00BA0227" w:rsidRDefault="00BA0227" w:rsidP="00440C8F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9B3" w14:textId="77777777" w:rsidR="00BA0227" w:rsidRPr="00BA0227" w:rsidRDefault="00BA0227" w:rsidP="00440C8F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A0227" w:rsidRPr="00BA0227" w14:paraId="0EA68416" w14:textId="77777777" w:rsidTr="00BA0227">
        <w:tblPrEx>
          <w:tblLook w:val="04A0" w:firstRow="1" w:lastRow="0" w:firstColumn="1" w:lastColumn="0" w:noHBand="0" w:noVBand="1"/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71F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107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Receivables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18B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FD6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6C29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02D6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41,167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B073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196.03%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40D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41,167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8A01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343.06%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CE9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200.03%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CED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21,000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140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175.00%</w:t>
            </w:r>
          </w:p>
        </w:tc>
      </w:tr>
      <w:tr w:rsidR="00BA0227" w:rsidRPr="00BA0227" w14:paraId="7A0C5D8F" w14:textId="77777777" w:rsidTr="00BA0227">
        <w:tblPrEx>
          <w:tblLook w:val="04A0" w:firstRow="1" w:lastRow="0" w:firstColumn="1" w:lastColumn="0" w:noHBand="0" w:noVBand="1"/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FAF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9F30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BA45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DFF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185,000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CD0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4DA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825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95.87%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8B7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22,050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3F1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11.92%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7C2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102.18%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BB0E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25,000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0CD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13.51%</w:t>
            </w:r>
          </w:p>
        </w:tc>
      </w:tr>
      <w:tr w:rsidR="00BA0227" w:rsidRPr="00BA0227" w14:paraId="53B7FD85" w14:textId="77777777" w:rsidTr="00BA0227">
        <w:tblPrEx>
          <w:tblLook w:val="04A0" w:firstRow="1" w:lastRow="0" w:firstColumn="1" w:lastColumn="0" w:noHBand="0" w:noVBand="1"/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3C8" w14:textId="31F872CB" w:rsidR="00BA0227" w:rsidRPr="00BA0227" w:rsidRDefault="00BA0227" w:rsidP="00BA02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4ACF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Bank payables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828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8204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50,000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CB57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40F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D9EA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760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50E6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44EC" w14:textId="77777777" w:rsidR="00BA0227" w:rsidRPr="00BA0227" w:rsidRDefault="00BA0227" w:rsidP="00440C8F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E282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7B8" w14:textId="77777777" w:rsidR="00BA0227" w:rsidRPr="00BA0227" w:rsidRDefault="00BA0227" w:rsidP="0044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</w:tr>
    </w:tbl>
    <w:p w14:paraId="1CB6895F" w14:textId="02C58CE3" w:rsidR="00437D12" w:rsidRPr="00BA0227" w:rsidRDefault="00BA0227" w:rsidP="00C260F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Mem</w:t>
      </w:r>
      <w:r w:rsidR="00C260FC">
        <w:rPr>
          <w:rFonts w:ascii="Arial" w:hAnsi="Arial"/>
          <w:color w:val="010000"/>
          <w:sz w:val="20"/>
        </w:rPr>
        <w:t>bers of the Board of Directors and Exec</w:t>
      </w:r>
      <w:bookmarkStart w:id="1" w:name="_GoBack"/>
      <w:bookmarkEnd w:id="1"/>
      <w:r w:rsidR="00C260FC">
        <w:rPr>
          <w:rFonts w:ascii="Arial" w:hAnsi="Arial"/>
          <w:color w:val="010000"/>
          <w:sz w:val="20"/>
        </w:rPr>
        <w:t xml:space="preserve">utive Board, </w:t>
      </w:r>
      <w:r>
        <w:rPr>
          <w:rFonts w:ascii="Arial" w:hAnsi="Arial"/>
          <w:color w:val="010000"/>
          <w:sz w:val="20"/>
        </w:rPr>
        <w:t>Chief Accountant, Heads of Functional Departments of HUD6 City and Housing Development Investment Joint Stock Company are responsible for the implementation of this Resolution.</w:t>
      </w:r>
    </w:p>
    <w:sectPr w:rsidR="00437D12" w:rsidRPr="00BA0227" w:rsidSect="00BA0227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12"/>
    <w:rsid w:val="00437D12"/>
    <w:rsid w:val="00BA0227"/>
    <w:rsid w:val="00C2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4AEA3"/>
  <w15:docId w15:val="{4C61D581-F845-4EAC-A220-A611B925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3131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3131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3131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CD7A85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  <w:color w:val="293131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293131"/>
      <w:sz w:val="30"/>
      <w:szCs w:val="30"/>
    </w:rPr>
  </w:style>
  <w:style w:type="paragraph" w:customStyle="1" w:styleId="Tiu20">
    <w:name w:val="Tiêu đề #2"/>
    <w:basedOn w:val="Normal"/>
    <w:link w:val="Tiu2"/>
    <w:pPr>
      <w:spacing w:line="250" w:lineRule="auto"/>
      <w:ind w:left="267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59" w:lineRule="auto"/>
      <w:ind w:left="1500" w:firstLine="720"/>
    </w:pPr>
    <w:rPr>
      <w:rFonts w:ascii="Times New Roman" w:eastAsia="Times New Roman" w:hAnsi="Times New Roman" w:cs="Times New Roman"/>
      <w:color w:val="293131"/>
      <w:sz w:val="26"/>
      <w:szCs w:val="26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spacing w:line="228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Arial" w:eastAsia="Arial" w:hAnsi="Arial" w:cs="Arial"/>
      <w:color w:val="CD7A85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ind w:left="18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30">
    <w:name w:val="Tiêu đề #3"/>
    <w:basedOn w:val="Normal"/>
    <w:link w:val="Tiu3"/>
    <w:pPr>
      <w:spacing w:line="257" w:lineRule="auto"/>
      <w:ind w:left="1700" w:firstLine="56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92Yoh+IvMZA8RqwFTALKPqDGpQ==">CgMxLjAyCGguZ2pkZ3hzOAByITF5anZ5S0gyd1hfVzltLTB0VEVUY1VJdEl0ZWh5aXFXNQ==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2024-04-11T04:31:00Z</dcterms:created>
  <dcterms:modified xsi:type="dcterms:W3CDTF">2024-04-11T04:31:00Z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bb92f3ac1dfbdeb465f159f1d4ed0c710e970da851d40b92dfb4c1a95fcdfe3d</vt:lpwstr>
  </property>
</Properties>
</file>