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7D1D"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b/>
          <w:sz w:val="20"/>
          <w:szCs w:val="20"/>
        </w:rPr>
      </w:pPr>
      <w:r w:rsidRPr="004E4D5E">
        <w:rPr>
          <w:rFonts w:ascii="Arial" w:hAnsi="Arial" w:cs="Arial"/>
          <w:b/>
          <w:sz w:val="20"/>
        </w:rPr>
        <w:t>QHW: Annual General Mandate 2024</w:t>
      </w:r>
    </w:p>
    <w:p w14:paraId="233165E1"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On April 05, 2024, Quang Ninh Mineral Water Corporation announced General Mandate No. 01/2024/NQ-DHDCD/QHW as follows:</w:t>
      </w:r>
    </w:p>
    <w:p w14:paraId="391E1FE3"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 xml:space="preserve">Article 1: Approve the Report of the Board of Directors on the </w:t>
      </w:r>
      <w:r w:rsidR="0083343B" w:rsidRPr="004E4D5E">
        <w:rPr>
          <w:rFonts w:ascii="Arial" w:hAnsi="Arial" w:cs="Arial"/>
          <w:sz w:val="20"/>
        </w:rPr>
        <w:t xml:space="preserve">corporate governance </w:t>
      </w:r>
      <w:r w:rsidRPr="004E4D5E">
        <w:rPr>
          <w:rFonts w:ascii="Arial" w:hAnsi="Arial" w:cs="Arial"/>
          <w:sz w:val="20"/>
        </w:rPr>
        <w:t>and the activity results of the Board of Directors in 2023;</w:t>
      </w:r>
    </w:p>
    <w:p w14:paraId="53BA1551"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 xml:space="preserve">Article 2: Approve the Report of the General Manager on the management in 2023 and the </w:t>
      </w:r>
      <w:r w:rsidR="0083343B" w:rsidRPr="004E4D5E">
        <w:rPr>
          <w:rFonts w:ascii="Arial" w:hAnsi="Arial" w:cs="Arial"/>
          <w:sz w:val="20"/>
        </w:rPr>
        <w:t xml:space="preserve">development orientation </w:t>
      </w:r>
      <w:r w:rsidRPr="004E4D5E">
        <w:rPr>
          <w:rFonts w:ascii="Arial" w:hAnsi="Arial" w:cs="Arial"/>
          <w:sz w:val="20"/>
        </w:rPr>
        <w:t>of the Company;</w:t>
      </w:r>
    </w:p>
    <w:p w14:paraId="24D093B4" w14:textId="77777777" w:rsidR="00380929" w:rsidRPr="004E4D5E" w:rsidRDefault="0083343B" w:rsidP="008E0894">
      <w:pPr>
        <w:tabs>
          <w:tab w:val="left" w:pos="284"/>
        </w:tabs>
        <w:spacing w:after="120" w:line="360" w:lineRule="auto"/>
        <w:rPr>
          <w:rFonts w:ascii="Arial" w:eastAsia="Arial" w:hAnsi="Arial" w:cs="Arial"/>
          <w:sz w:val="20"/>
          <w:szCs w:val="20"/>
        </w:rPr>
      </w:pPr>
      <w:r w:rsidRPr="004E4D5E">
        <w:rPr>
          <w:rFonts w:ascii="Arial" w:hAnsi="Arial" w:cs="Arial"/>
          <w:sz w:val="20"/>
        </w:rPr>
        <w:t xml:space="preserve">Production and business </w:t>
      </w:r>
      <w:r w:rsidR="008E0894" w:rsidRPr="004E4D5E">
        <w:rPr>
          <w:rFonts w:ascii="Arial" w:hAnsi="Arial" w:cs="Arial"/>
          <w:sz w:val="20"/>
        </w:rPr>
        <w:t>results in 2023 as follows:</w:t>
      </w:r>
    </w:p>
    <w:p w14:paraId="70BF1A9B" w14:textId="77777777" w:rsidR="0083343B" w:rsidRPr="004E4D5E" w:rsidRDefault="008E0894" w:rsidP="008E0894">
      <w:pPr>
        <w:pStyle w:val="ListParagraph"/>
        <w:numPr>
          <w:ilvl w:val="0"/>
          <w:numId w:val="2"/>
        </w:numPr>
        <w:tabs>
          <w:tab w:val="left" w:pos="284"/>
        </w:tabs>
        <w:spacing w:after="120" w:line="360" w:lineRule="auto"/>
        <w:ind w:left="0" w:firstLine="0"/>
        <w:contextualSpacing w:val="0"/>
        <w:rPr>
          <w:rFonts w:ascii="Arial" w:eastAsia="Arial" w:hAnsi="Arial" w:cs="Arial"/>
          <w:sz w:val="20"/>
          <w:szCs w:val="20"/>
        </w:rPr>
      </w:pPr>
      <w:r w:rsidRPr="004E4D5E">
        <w:rPr>
          <w:rFonts w:ascii="Arial" w:hAnsi="Arial" w:cs="Arial"/>
          <w:sz w:val="20"/>
        </w:rPr>
        <w:t xml:space="preserve">Net revenue: VND 245 billion, equal to 94.64% compared to </w:t>
      </w:r>
      <w:r w:rsidR="0083343B" w:rsidRPr="004E4D5E">
        <w:rPr>
          <w:rFonts w:ascii="Arial" w:hAnsi="Arial" w:cs="Arial"/>
          <w:sz w:val="20"/>
        </w:rPr>
        <w:t xml:space="preserve">that of </w:t>
      </w:r>
      <w:r w:rsidRPr="004E4D5E">
        <w:rPr>
          <w:rFonts w:ascii="Arial" w:hAnsi="Arial" w:cs="Arial"/>
          <w:sz w:val="20"/>
        </w:rPr>
        <w:t>2022 and reaching 94.24% compared to the plan in 2023.</w:t>
      </w:r>
    </w:p>
    <w:p w14:paraId="6E6CB1AE" w14:textId="77777777" w:rsidR="0083343B" w:rsidRPr="004E4D5E" w:rsidRDefault="008E0894" w:rsidP="008E0894">
      <w:pPr>
        <w:pStyle w:val="ListParagraph"/>
        <w:numPr>
          <w:ilvl w:val="0"/>
          <w:numId w:val="2"/>
        </w:numPr>
        <w:tabs>
          <w:tab w:val="left" w:pos="284"/>
        </w:tabs>
        <w:spacing w:after="120" w:line="360" w:lineRule="auto"/>
        <w:ind w:left="0" w:firstLine="0"/>
        <w:contextualSpacing w:val="0"/>
        <w:rPr>
          <w:rFonts w:ascii="Arial" w:eastAsia="Arial" w:hAnsi="Arial" w:cs="Arial"/>
          <w:sz w:val="20"/>
          <w:szCs w:val="20"/>
        </w:rPr>
      </w:pPr>
      <w:r w:rsidRPr="004E4D5E">
        <w:rPr>
          <w:rFonts w:ascii="Arial" w:hAnsi="Arial" w:cs="Arial"/>
          <w:sz w:val="20"/>
        </w:rPr>
        <w:t xml:space="preserve">Profit after tax: VND 42 billion, equal to 104.71% compared to </w:t>
      </w:r>
      <w:r w:rsidR="0083343B" w:rsidRPr="004E4D5E">
        <w:rPr>
          <w:rFonts w:ascii="Arial" w:hAnsi="Arial" w:cs="Arial"/>
          <w:sz w:val="20"/>
        </w:rPr>
        <w:t xml:space="preserve">that of </w:t>
      </w:r>
      <w:r w:rsidRPr="004E4D5E">
        <w:rPr>
          <w:rFonts w:ascii="Arial" w:hAnsi="Arial" w:cs="Arial"/>
          <w:sz w:val="20"/>
        </w:rPr>
        <w:t>2022 and reaching 110.98% compared to the plan in 2023.</w:t>
      </w:r>
    </w:p>
    <w:p w14:paraId="5AE94656" w14:textId="77777777" w:rsidR="00380929" w:rsidRPr="004E4D5E" w:rsidRDefault="008E0894" w:rsidP="008E0894">
      <w:pPr>
        <w:pStyle w:val="ListParagraph"/>
        <w:numPr>
          <w:ilvl w:val="0"/>
          <w:numId w:val="2"/>
        </w:numPr>
        <w:tabs>
          <w:tab w:val="left" w:pos="284"/>
        </w:tabs>
        <w:spacing w:after="120" w:line="360" w:lineRule="auto"/>
        <w:ind w:left="0" w:firstLine="0"/>
        <w:contextualSpacing w:val="0"/>
        <w:rPr>
          <w:rFonts w:ascii="Arial" w:eastAsia="Arial" w:hAnsi="Arial" w:cs="Arial"/>
          <w:sz w:val="20"/>
          <w:szCs w:val="20"/>
        </w:rPr>
      </w:pPr>
      <w:r w:rsidRPr="004E4D5E">
        <w:rPr>
          <w:rFonts w:ascii="Arial" w:hAnsi="Arial" w:cs="Arial"/>
          <w:sz w:val="20"/>
        </w:rPr>
        <w:t xml:space="preserve">Production output in 2023: 50.44 million liters, equal to 97.23% compared to </w:t>
      </w:r>
      <w:r w:rsidR="0083343B" w:rsidRPr="004E4D5E">
        <w:rPr>
          <w:rFonts w:ascii="Arial" w:hAnsi="Arial" w:cs="Arial"/>
          <w:sz w:val="20"/>
        </w:rPr>
        <w:t xml:space="preserve">that of </w:t>
      </w:r>
      <w:r w:rsidRPr="004E4D5E">
        <w:rPr>
          <w:rFonts w:ascii="Arial" w:hAnsi="Arial" w:cs="Arial"/>
          <w:sz w:val="20"/>
        </w:rPr>
        <w:t>2022.</w:t>
      </w:r>
    </w:p>
    <w:p w14:paraId="423C4143" w14:textId="77777777" w:rsidR="00380929" w:rsidRPr="004E4D5E" w:rsidRDefault="008E0894" w:rsidP="008E0894">
      <w:pPr>
        <w:tabs>
          <w:tab w:val="left" w:pos="284"/>
        </w:tabs>
        <w:spacing w:after="120" w:line="360" w:lineRule="auto"/>
        <w:rPr>
          <w:rFonts w:ascii="Arial" w:eastAsia="Arial" w:hAnsi="Arial" w:cs="Arial"/>
          <w:sz w:val="20"/>
          <w:szCs w:val="20"/>
        </w:rPr>
      </w:pPr>
      <w:r w:rsidRPr="004E4D5E">
        <w:rPr>
          <w:rFonts w:ascii="Arial" w:hAnsi="Arial" w:cs="Arial"/>
          <w:sz w:val="20"/>
        </w:rPr>
        <w:t>Although the selling price of Faith Lemon Salted products decreased by 6% over the same period, financial revenue</w:t>
      </w:r>
      <w:r w:rsidR="0083343B" w:rsidRPr="004E4D5E">
        <w:rPr>
          <w:rFonts w:ascii="Arial" w:hAnsi="Arial" w:cs="Arial"/>
          <w:sz w:val="20"/>
        </w:rPr>
        <w:t xml:space="preserve"> increased</w:t>
      </w:r>
      <w:r w:rsidRPr="004E4D5E">
        <w:rPr>
          <w:rFonts w:ascii="Arial" w:hAnsi="Arial" w:cs="Arial"/>
          <w:sz w:val="20"/>
        </w:rPr>
        <w:t xml:space="preserve"> </w:t>
      </w:r>
      <w:r w:rsidR="0083343B" w:rsidRPr="004E4D5E">
        <w:rPr>
          <w:rFonts w:ascii="Arial" w:hAnsi="Arial" w:cs="Arial"/>
          <w:sz w:val="20"/>
        </w:rPr>
        <w:t>by</w:t>
      </w:r>
      <w:r w:rsidRPr="004E4D5E">
        <w:rPr>
          <w:rFonts w:ascii="Arial" w:hAnsi="Arial" w:cs="Arial"/>
          <w:sz w:val="20"/>
        </w:rPr>
        <w:t xml:space="preserve"> VND 12 billion (VND 04 billion in 2022</w:t>
      </w:r>
      <w:r w:rsidR="0083343B" w:rsidRPr="004E4D5E">
        <w:rPr>
          <w:rFonts w:ascii="Arial" w:hAnsi="Arial" w:cs="Arial"/>
          <w:sz w:val="20"/>
        </w:rPr>
        <w:t xml:space="preserve">). Therefore, </w:t>
      </w:r>
      <w:r w:rsidRPr="004E4D5E">
        <w:rPr>
          <w:rFonts w:ascii="Arial" w:hAnsi="Arial" w:cs="Arial"/>
          <w:sz w:val="20"/>
        </w:rPr>
        <w:t xml:space="preserve">the Company's profit after tax increased </w:t>
      </w:r>
      <w:r w:rsidR="0083343B" w:rsidRPr="004E4D5E">
        <w:rPr>
          <w:rFonts w:ascii="Arial" w:hAnsi="Arial" w:cs="Arial"/>
          <w:sz w:val="20"/>
        </w:rPr>
        <w:t xml:space="preserve">by 4.71% </w:t>
      </w:r>
      <w:r w:rsidRPr="004E4D5E">
        <w:rPr>
          <w:rFonts w:ascii="Arial" w:hAnsi="Arial" w:cs="Arial"/>
          <w:sz w:val="20"/>
        </w:rPr>
        <w:t xml:space="preserve">over the same period and </w:t>
      </w:r>
      <w:r w:rsidR="0083343B" w:rsidRPr="004E4D5E">
        <w:rPr>
          <w:rFonts w:ascii="Arial" w:hAnsi="Arial" w:cs="Arial"/>
          <w:sz w:val="20"/>
        </w:rPr>
        <w:t xml:space="preserve">by 10.98% </w:t>
      </w:r>
      <w:r w:rsidRPr="004E4D5E">
        <w:rPr>
          <w:rFonts w:ascii="Arial" w:hAnsi="Arial" w:cs="Arial"/>
          <w:sz w:val="20"/>
        </w:rPr>
        <w:t>compared to the plan in 2023.</w:t>
      </w:r>
    </w:p>
    <w:p w14:paraId="1CA07006"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Article 3: Approve the Report on activities of independent members of the Board of Directors in the Audit Committee in 2023</w:t>
      </w:r>
      <w:r w:rsidR="0083343B" w:rsidRPr="004E4D5E">
        <w:rPr>
          <w:rFonts w:ascii="Arial" w:hAnsi="Arial" w:cs="Arial"/>
          <w:sz w:val="20"/>
        </w:rPr>
        <w:t>.</w:t>
      </w:r>
    </w:p>
    <w:p w14:paraId="51F650FF"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Article 4: Approve the Company's Financial Statements 2023 audited by KPMG Limited;</w:t>
      </w:r>
    </w:p>
    <w:p w14:paraId="718E3707"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Article 5: Approve the production and business plan for 2024</w:t>
      </w:r>
      <w:r w:rsidR="0083343B" w:rsidRPr="004E4D5E">
        <w:rPr>
          <w:rFonts w:ascii="Arial" w:hAnsi="Arial" w:cs="Arial"/>
          <w:sz w:val="20"/>
        </w:rPr>
        <w:t xml:space="preserve"> of the Company.</w:t>
      </w:r>
    </w:p>
    <w:tbl>
      <w:tblPr>
        <w:tblStyle w:val="a"/>
        <w:tblW w:w="5000" w:type="pct"/>
        <w:tblLook w:val="0000" w:firstRow="0" w:lastRow="0" w:firstColumn="0" w:lastColumn="0" w:noHBand="0" w:noVBand="0"/>
      </w:tblPr>
      <w:tblGrid>
        <w:gridCol w:w="4333"/>
        <w:gridCol w:w="2546"/>
        <w:gridCol w:w="2137"/>
      </w:tblGrid>
      <w:tr w:rsidR="00380929" w:rsidRPr="004E4D5E" w14:paraId="749E5AF5" w14:textId="77777777" w:rsidTr="008E0894">
        <w:tc>
          <w:tcPr>
            <w:tcW w:w="2403"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77E1F310"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(Billion VND)</w:t>
            </w:r>
          </w:p>
        </w:tc>
        <w:tc>
          <w:tcPr>
            <w:tcW w:w="2597" w:type="pct"/>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2369FD4"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Plan for 2024</w:t>
            </w:r>
          </w:p>
        </w:tc>
      </w:tr>
      <w:tr w:rsidR="00380929" w:rsidRPr="004E4D5E" w14:paraId="3AA39D45" w14:textId="77777777" w:rsidTr="008E0894">
        <w:tc>
          <w:tcPr>
            <w:tcW w:w="2403"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7A146C20" w14:textId="77777777" w:rsidR="00380929" w:rsidRPr="004E4D5E" w:rsidRDefault="00380929"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p>
        </w:tc>
        <w:tc>
          <w:tcPr>
            <w:tcW w:w="141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7C850307"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Low</w:t>
            </w:r>
          </w:p>
        </w:tc>
        <w:tc>
          <w:tcPr>
            <w:tcW w:w="1185"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15D22A0B"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High</w:t>
            </w:r>
          </w:p>
        </w:tc>
      </w:tr>
      <w:tr w:rsidR="00380929" w:rsidRPr="004E4D5E" w14:paraId="76281C56" w14:textId="77777777" w:rsidTr="008E0894">
        <w:tc>
          <w:tcPr>
            <w:tcW w:w="2403"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31D53F87"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Net revenue</w:t>
            </w:r>
          </w:p>
        </w:tc>
        <w:tc>
          <w:tcPr>
            <w:tcW w:w="141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5CF2E141"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245</w:t>
            </w:r>
          </w:p>
        </w:tc>
        <w:tc>
          <w:tcPr>
            <w:tcW w:w="1185"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6CB851D4"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260</w:t>
            </w:r>
          </w:p>
        </w:tc>
      </w:tr>
      <w:tr w:rsidR="00380929" w:rsidRPr="004E4D5E" w14:paraId="4879C8A2" w14:textId="77777777" w:rsidTr="008E0894">
        <w:tc>
          <w:tcPr>
            <w:tcW w:w="2403"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BD405DA"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Profit after tax</w:t>
            </w:r>
          </w:p>
        </w:tc>
        <w:tc>
          <w:tcPr>
            <w:tcW w:w="1412"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FF16AB8"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42</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97C553"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43</w:t>
            </w:r>
          </w:p>
        </w:tc>
      </w:tr>
    </w:tbl>
    <w:p w14:paraId="0312D3A2" w14:textId="77777777" w:rsidR="00380929" w:rsidRPr="004E4D5E" w:rsidRDefault="008E0894" w:rsidP="008E0894">
      <w:pPr>
        <w:pBdr>
          <w:top w:val="nil"/>
          <w:left w:val="nil"/>
          <w:bottom w:val="nil"/>
          <w:right w:val="nil"/>
          <w:between w:val="nil"/>
        </w:pBdr>
        <w:tabs>
          <w:tab w:val="left" w:pos="284"/>
          <w:tab w:val="left" w:pos="1171"/>
        </w:tabs>
        <w:spacing w:after="120" w:line="360" w:lineRule="auto"/>
        <w:rPr>
          <w:rFonts w:ascii="Arial" w:eastAsia="Arial" w:hAnsi="Arial" w:cs="Arial"/>
          <w:sz w:val="20"/>
          <w:szCs w:val="20"/>
        </w:rPr>
      </w:pPr>
      <w:r w:rsidRPr="004E4D5E">
        <w:rPr>
          <w:rFonts w:ascii="Arial" w:hAnsi="Arial" w:cs="Arial"/>
          <w:sz w:val="20"/>
        </w:rPr>
        <w:t>Article 6: Approve the profit distribution plan in 2023.</w:t>
      </w:r>
    </w:p>
    <w:p w14:paraId="044DAD18" w14:textId="77777777" w:rsidR="00380929" w:rsidRPr="004E4D5E" w:rsidRDefault="008E0894" w:rsidP="008E0894">
      <w:pPr>
        <w:numPr>
          <w:ilvl w:val="0"/>
          <w:numId w:val="1"/>
        </w:numPr>
        <w:pBdr>
          <w:top w:val="nil"/>
          <w:left w:val="nil"/>
          <w:bottom w:val="nil"/>
          <w:right w:val="nil"/>
          <w:between w:val="nil"/>
        </w:pBdr>
        <w:tabs>
          <w:tab w:val="left" w:pos="284"/>
          <w:tab w:val="left" w:pos="1424"/>
        </w:tabs>
        <w:spacing w:after="120" w:line="360" w:lineRule="auto"/>
        <w:rPr>
          <w:rFonts w:ascii="Arial" w:eastAsia="Arial" w:hAnsi="Arial" w:cs="Arial"/>
          <w:sz w:val="20"/>
          <w:szCs w:val="20"/>
        </w:rPr>
      </w:pPr>
      <w:r w:rsidRPr="004E4D5E">
        <w:rPr>
          <w:rFonts w:ascii="Arial" w:hAnsi="Arial" w:cs="Arial"/>
          <w:sz w:val="20"/>
        </w:rPr>
        <w:t>Appropriation for bonus and welfare fund: VND 0.</w:t>
      </w:r>
    </w:p>
    <w:p w14:paraId="32F630E3" w14:textId="77777777" w:rsidR="00380929" w:rsidRPr="004E4D5E" w:rsidRDefault="008E0894" w:rsidP="008E0894">
      <w:pPr>
        <w:numPr>
          <w:ilvl w:val="0"/>
          <w:numId w:val="1"/>
        </w:numPr>
        <w:pBdr>
          <w:top w:val="nil"/>
          <w:left w:val="nil"/>
          <w:bottom w:val="nil"/>
          <w:right w:val="nil"/>
          <w:between w:val="nil"/>
        </w:pBdr>
        <w:tabs>
          <w:tab w:val="left" w:pos="284"/>
          <w:tab w:val="left" w:pos="1424"/>
        </w:tabs>
        <w:spacing w:after="120" w:line="360" w:lineRule="auto"/>
        <w:rPr>
          <w:rFonts w:ascii="Arial" w:eastAsia="Arial" w:hAnsi="Arial" w:cs="Arial"/>
          <w:sz w:val="20"/>
          <w:szCs w:val="20"/>
        </w:rPr>
      </w:pPr>
      <w:bookmarkStart w:id="0" w:name="_heading=h.1fob9te"/>
      <w:bookmarkEnd w:id="0"/>
      <w:r w:rsidRPr="004E4D5E">
        <w:rPr>
          <w:rFonts w:ascii="Arial" w:hAnsi="Arial" w:cs="Arial"/>
          <w:sz w:val="20"/>
        </w:rPr>
        <w:t>Dividend payment in cash: 12%. Payment time: within 6 months from the date of approval by the General Meeting of Shareholders.</w:t>
      </w:r>
    </w:p>
    <w:p w14:paraId="29BE43A8" w14:textId="77777777" w:rsidR="00380929" w:rsidRPr="004E4D5E" w:rsidRDefault="008E0894" w:rsidP="008E0894">
      <w:pPr>
        <w:numPr>
          <w:ilvl w:val="0"/>
          <w:numId w:val="1"/>
        </w:numPr>
        <w:pBdr>
          <w:top w:val="nil"/>
          <w:left w:val="nil"/>
          <w:bottom w:val="nil"/>
          <w:right w:val="nil"/>
          <w:between w:val="nil"/>
        </w:pBdr>
        <w:tabs>
          <w:tab w:val="left" w:pos="284"/>
          <w:tab w:val="left" w:pos="1424"/>
        </w:tabs>
        <w:spacing w:after="120" w:line="360" w:lineRule="auto"/>
        <w:rPr>
          <w:rFonts w:ascii="Arial" w:eastAsia="Arial" w:hAnsi="Arial" w:cs="Arial"/>
          <w:sz w:val="20"/>
          <w:szCs w:val="20"/>
        </w:rPr>
      </w:pPr>
      <w:r w:rsidRPr="004E4D5E">
        <w:rPr>
          <w:rFonts w:ascii="Arial" w:hAnsi="Arial" w:cs="Arial"/>
          <w:sz w:val="20"/>
        </w:rPr>
        <w:t>Authorize the Chair of the Board of Directors to decide related issues and carry out procedures for dividend payment in accordance with the provisions of law.</w:t>
      </w:r>
    </w:p>
    <w:p w14:paraId="03364E67"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 xml:space="preserve">Article 7: Approve the dividend </w:t>
      </w:r>
      <w:r w:rsidR="0083343B" w:rsidRPr="004E4D5E">
        <w:rPr>
          <w:rFonts w:ascii="Arial" w:hAnsi="Arial" w:cs="Arial"/>
          <w:sz w:val="20"/>
        </w:rPr>
        <w:t>prepayment</w:t>
      </w:r>
      <w:r w:rsidRPr="004E4D5E">
        <w:rPr>
          <w:rFonts w:ascii="Arial" w:hAnsi="Arial" w:cs="Arial"/>
          <w:sz w:val="20"/>
        </w:rPr>
        <w:t xml:space="preserve"> in 2024. Approve </w:t>
      </w:r>
      <w:r w:rsidR="0083343B" w:rsidRPr="004E4D5E">
        <w:rPr>
          <w:rFonts w:ascii="Arial" w:hAnsi="Arial" w:cs="Arial"/>
          <w:sz w:val="20"/>
        </w:rPr>
        <w:t>authorizing</w:t>
      </w:r>
      <w:r w:rsidRPr="004E4D5E">
        <w:rPr>
          <w:rFonts w:ascii="Arial" w:hAnsi="Arial" w:cs="Arial"/>
          <w:sz w:val="20"/>
        </w:rPr>
        <w:t xml:space="preserve"> the Board of Directors, depending on the business results, business plan and assurance of cash flow optimization, to decide </w:t>
      </w:r>
      <w:r w:rsidRPr="004E4D5E">
        <w:rPr>
          <w:rFonts w:ascii="Arial" w:hAnsi="Arial" w:cs="Arial"/>
          <w:sz w:val="20"/>
        </w:rPr>
        <w:lastRenderedPageBreak/>
        <w:t xml:space="preserve">on all matters related to the dividend prepayment in 2024, including but not limited to the decision to make the dividend prepayment </w:t>
      </w:r>
      <w:r w:rsidR="0083343B" w:rsidRPr="004E4D5E">
        <w:rPr>
          <w:rFonts w:ascii="Arial" w:hAnsi="Arial" w:cs="Arial"/>
          <w:sz w:val="20"/>
        </w:rPr>
        <w:t>rate</w:t>
      </w:r>
      <w:r w:rsidRPr="004E4D5E">
        <w:rPr>
          <w:rFonts w:ascii="Arial" w:hAnsi="Arial" w:cs="Arial"/>
          <w:sz w:val="20"/>
        </w:rPr>
        <w:t>, time and method of payment (if any).</w:t>
      </w:r>
    </w:p>
    <w:p w14:paraId="556A7063" w14:textId="77777777" w:rsidR="0083343B" w:rsidRPr="004E4D5E" w:rsidRDefault="008E0894" w:rsidP="008E0894">
      <w:pPr>
        <w:pBdr>
          <w:top w:val="nil"/>
          <w:left w:val="nil"/>
          <w:bottom w:val="nil"/>
          <w:right w:val="nil"/>
          <w:between w:val="nil"/>
        </w:pBdr>
        <w:tabs>
          <w:tab w:val="left" w:pos="284"/>
        </w:tabs>
        <w:spacing w:after="120" w:line="360" w:lineRule="auto"/>
        <w:rPr>
          <w:rFonts w:ascii="Arial" w:hAnsi="Arial" w:cs="Arial"/>
          <w:sz w:val="20"/>
        </w:rPr>
      </w:pPr>
      <w:r w:rsidRPr="004E4D5E">
        <w:rPr>
          <w:rFonts w:ascii="Arial" w:hAnsi="Arial" w:cs="Arial"/>
          <w:sz w:val="20"/>
        </w:rPr>
        <w:t>Article 8:</w:t>
      </w:r>
      <w:r w:rsidR="0083343B" w:rsidRPr="004E4D5E">
        <w:rPr>
          <w:rFonts w:ascii="Arial" w:hAnsi="Arial" w:cs="Arial"/>
          <w:sz w:val="20"/>
        </w:rPr>
        <w:t xml:space="preserve"> </w:t>
      </w:r>
      <w:r w:rsidRPr="004E4D5E">
        <w:rPr>
          <w:rFonts w:ascii="Arial" w:hAnsi="Arial" w:cs="Arial"/>
          <w:sz w:val="20"/>
        </w:rPr>
        <w:t xml:space="preserve">Approve </w:t>
      </w:r>
      <w:r w:rsidR="0083343B" w:rsidRPr="004E4D5E">
        <w:rPr>
          <w:rFonts w:ascii="Arial" w:hAnsi="Arial" w:cs="Arial"/>
          <w:sz w:val="20"/>
        </w:rPr>
        <w:t>authorizing</w:t>
      </w:r>
      <w:r w:rsidRPr="004E4D5E">
        <w:rPr>
          <w:rFonts w:ascii="Arial" w:hAnsi="Arial" w:cs="Arial"/>
          <w:sz w:val="20"/>
        </w:rPr>
        <w:t xml:space="preserve"> the Chair of the Board of Directors or the General Manager of the Company to decide on the selection of the audit </w:t>
      </w:r>
      <w:r w:rsidR="0083343B" w:rsidRPr="004E4D5E">
        <w:rPr>
          <w:rFonts w:ascii="Arial" w:hAnsi="Arial" w:cs="Arial"/>
          <w:sz w:val="20"/>
        </w:rPr>
        <w:t>company</w:t>
      </w:r>
      <w:r w:rsidRPr="004E4D5E">
        <w:rPr>
          <w:rFonts w:ascii="Arial" w:hAnsi="Arial" w:cs="Arial"/>
          <w:sz w:val="20"/>
        </w:rPr>
        <w:t xml:space="preserve"> </w:t>
      </w:r>
      <w:r w:rsidR="0083343B" w:rsidRPr="004E4D5E">
        <w:rPr>
          <w:rFonts w:ascii="Arial" w:hAnsi="Arial" w:cs="Arial"/>
          <w:sz w:val="20"/>
        </w:rPr>
        <w:t>for</w:t>
      </w:r>
      <w:r w:rsidRPr="004E4D5E">
        <w:rPr>
          <w:rFonts w:ascii="Arial" w:hAnsi="Arial" w:cs="Arial"/>
          <w:sz w:val="20"/>
        </w:rPr>
        <w:t xml:space="preserve"> the Company's </w:t>
      </w:r>
      <w:r w:rsidR="0083343B" w:rsidRPr="004E4D5E">
        <w:rPr>
          <w:rFonts w:ascii="Arial" w:hAnsi="Arial" w:cs="Arial"/>
          <w:sz w:val="20"/>
        </w:rPr>
        <w:t xml:space="preserve">Financial Statements </w:t>
      </w:r>
      <w:r w:rsidRPr="004E4D5E">
        <w:rPr>
          <w:rFonts w:ascii="Arial" w:hAnsi="Arial" w:cs="Arial"/>
          <w:sz w:val="20"/>
        </w:rPr>
        <w:t xml:space="preserve">for fiscal year 2024 as one of the following companies: </w:t>
      </w:r>
    </w:p>
    <w:p w14:paraId="6F66798B" w14:textId="77777777" w:rsidR="00380929" w:rsidRPr="004E4D5E" w:rsidRDefault="0083343B" w:rsidP="008E0894">
      <w:pPr>
        <w:pStyle w:val="ListParagraph"/>
        <w:numPr>
          <w:ilvl w:val="0"/>
          <w:numId w:val="1"/>
        </w:numPr>
        <w:pBdr>
          <w:top w:val="nil"/>
          <w:left w:val="nil"/>
          <w:bottom w:val="nil"/>
          <w:right w:val="nil"/>
          <w:between w:val="nil"/>
        </w:pBdr>
        <w:tabs>
          <w:tab w:val="left" w:pos="284"/>
        </w:tabs>
        <w:spacing w:after="120" w:line="360" w:lineRule="auto"/>
        <w:contextualSpacing w:val="0"/>
        <w:rPr>
          <w:rFonts w:ascii="Arial" w:eastAsia="Arial" w:hAnsi="Arial" w:cs="Arial"/>
          <w:sz w:val="20"/>
          <w:szCs w:val="20"/>
        </w:rPr>
      </w:pPr>
      <w:r w:rsidRPr="004E4D5E">
        <w:rPr>
          <w:rFonts w:ascii="Arial" w:hAnsi="Arial" w:cs="Arial"/>
          <w:sz w:val="20"/>
        </w:rPr>
        <w:t>KPMG Limited;</w:t>
      </w:r>
    </w:p>
    <w:p w14:paraId="4951AE0D" w14:textId="77777777" w:rsidR="00380929" w:rsidRPr="004E4D5E" w:rsidRDefault="008E0894" w:rsidP="008E0894">
      <w:pPr>
        <w:numPr>
          <w:ilvl w:val="0"/>
          <w:numId w:val="1"/>
        </w:num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Deloitte Vietnam Company Limited;</w:t>
      </w:r>
    </w:p>
    <w:p w14:paraId="5D8EF992" w14:textId="77777777" w:rsidR="00380929" w:rsidRPr="004E4D5E" w:rsidRDefault="0083343B" w:rsidP="008E0894">
      <w:pPr>
        <w:numPr>
          <w:ilvl w:val="0"/>
          <w:numId w:val="1"/>
        </w:num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PwC (Vietnam) Limited;</w:t>
      </w:r>
    </w:p>
    <w:p w14:paraId="51092F81" w14:textId="77777777" w:rsidR="00380929" w:rsidRPr="004E4D5E" w:rsidRDefault="008E0894" w:rsidP="008E0894">
      <w:pPr>
        <w:numPr>
          <w:ilvl w:val="0"/>
          <w:numId w:val="1"/>
        </w:num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Ernst &amp; Young Vietnam Limited</w:t>
      </w:r>
      <w:r w:rsidR="0083343B" w:rsidRPr="004E4D5E">
        <w:rPr>
          <w:rFonts w:ascii="Arial" w:hAnsi="Arial" w:cs="Arial"/>
          <w:sz w:val="20"/>
        </w:rPr>
        <w:t>.</w:t>
      </w:r>
    </w:p>
    <w:p w14:paraId="68703D0E"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Article 9:</w:t>
      </w:r>
      <w:r w:rsidR="0083343B" w:rsidRPr="004E4D5E">
        <w:rPr>
          <w:rFonts w:ascii="Arial" w:hAnsi="Arial" w:cs="Arial"/>
          <w:sz w:val="20"/>
        </w:rPr>
        <w:t xml:space="preserve"> </w:t>
      </w:r>
      <w:r w:rsidRPr="004E4D5E">
        <w:rPr>
          <w:rFonts w:ascii="Arial" w:hAnsi="Arial" w:cs="Arial"/>
          <w:sz w:val="20"/>
        </w:rPr>
        <w:t>Approve the remuneration plan of members of the Board of Directors in 2024:</w:t>
      </w:r>
    </w:p>
    <w:p w14:paraId="34E33015" w14:textId="77777777" w:rsidR="00380929" w:rsidRPr="004E4D5E" w:rsidRDefault="008E0894" w:rsidP="008E0894">
      <w:pPr>
        <w:numPr>
          <w:ilvl w:val="0"/>
          <w:numId w:val="1"/>
        </w:num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Chair of the Board of Directors VND 30 million/month.</w:t>
      </w:r>
    </w:p>
    <w:p w14:paraId="0AB861FC" w14:textId="77777777" w:rsidR="00380929" w:rsidRPr="004E4D5E" w:rsidRDefault="008E0894" w:rsidP="008E0894">
      <w:pPr>
        <w:numPr>
          <w:ilvl w:val="0"/>
          <w:numId w:val="1"/>
        </w:num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Members of the Board of Directors: VND 20 million/month/person.</w:t>
      </w:r>
    </w:p>
    <w:p w14:paraId="5E93B78B"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Article 10: With the aim of optimizing cash flow management and increasing financial income, approve investment transactions, buying and selling bonds (including transactions on the secondary market for bonds issued by subsidiaries and joint ventures in Masan Group Corporation), certificates of deposit and other assets, the value of each of which is under the authority of the General Meeting of Shareholders in accordance with the provisions of the Charter and the law</w:t>
      </w:r>
      <w:r w:rsidR="0083343B" w:rsidRPr="004E4D5E">
        <w:rPr>
          <w:rFonts w:ascii="Arial" w:hAnsi="Arial" w:cs="Arial"/>
          <w:sz w:val="20"/>
        </w:rPr>
        <w:t xml:space="preserve"> </w:t>
      </w:r>
      <w:r w:rsidRPr="004E4D5E">
        <w:rPr>
          <w:rFonts w:ascii="Arial" w:hAnsi="Arial" w:cs="Arial"/>
          <w:sz w:val="20"/>
        </w:rPr>
        <w:t>(“Investment Transactions”), and authorize the Chair of the Board of Directors and allow the Chair of the Board of Directors to authorize other managers of the Company:</w:t>
      </w:r>
    </w:p>
    <w:p w14:paraId="63F535C5" w14:textId="77777777" w:rsidR="00380929" w:rsidRPr="004E4D5E" w:rsidRDefault="008E0894" w:rsidP="008E0894">
      <w:pPr>
        <w:pStyle w:val="ListParagraph"/>
        <w:numPr>
          <w:ilvl w:val="0"/>
          <w:numId w:val="3"/>
        </w:numPr>
        <w:pBdr>
          <w:top w:val="nil"/>
          <w:left w:val="nil"/>
          <w:bottom w:val="nil"/>
          <w:right w:val="nil"/>
          <w:between w:val="nil"/>
        </w:pBdr>
        <w:tabs>
          <w:tab w:val="left" w:pos="284"/>
        </w:tabs>
        <w:spacing w:after="120" w:line="360" w:lineRule="auto"/>
        <w:ind w:left="0" w:firstLine="0"/>
        <w:contextualSpacing w:val="0"/>
        <w:rPr>
          <w:rFonts w:ascii="Arial" w:eastAsia="Arial" w:hAnsi="Arial" w:cs="Arial"/>
          <w:sz w:val="20"/>
          <w:szCs w:val="20"/>
        </w:rPr>
      </w:pPr>
      <w:r w:rsidRPr="004E4D5E">
        <w:rPr>
          <w:rFonts w:ascii="Arial" w:hAnsi="Arial" w:cs="Arial"/>
          <w:sz w:val="20"/>
        </w:rPr>
        <w:t xml:space="preserve">Decide on the specific terms and conditions of Investment Transactions and contracts, agreements, and documents related to Investment Transactions, including agreements to amend, supplement, terminate and replace Investment Transactions (if any); and </w:t>
      </w:r>
    </w:p>
    <w:p w14:paraId="511CC472" w14:textId="77777777" w:rsidR="00380929" w:rsidRPr="004E4D5E" w:rsidRDefault="008E0894" w:rsidP="008E0894">
      <w:pPr>
        <w:pStyle w:val="ListParagraph"/>
        <w:numPr>
          <w:ilvl w:val="0"/>
          <w:numId w:val="3"/>
        </w:numPr>
        <w:pBdr>
          <w:top w:val="nil"/>
          <w:left w:val="nil"/>
          <w:bottom w:val="nil"/>
          <w:right w:val="nil"/>
          <w:between w:val="nil"/>
        </w:pBdr>
        <w:tabs>
          <w:tab w:val="left" w:pos="284"/>
        </w:tabs>
        <w:spacing w:after="120" w:line="360" w:lineRule="auto"/>
        <w:ind w:left="0" w:firstLine="0"/>
        <w:contextualSpacing w:val="0"/>
        <w:rPr>
          <w:rFonts w:ascii="Arial" w:eastAsia="Arial" w:hAnsi="Arial" w:cs="Arial"/>
          <w:sz w:val="20"/>
          <w:szCs w:val="20"/>
        </w:rPr>
      </w:pPr>
      <w:r w:rsidRPr="004E4D5E">
        <w:rPr>
          <w:rFonts w:ascii="Arial" w:hAnsi="Arial" w:cs="Arial"/>
          <w:sz w:val="20"/>
        </w:rPr>
        <w:t>Sign and implement Investment Transactions and contracts, agreements and documents related to Investment Transactions, including agreements to amend, supplement, terminate and replace the Investment Transactions Investment Transactions (if any).</w:t>
      </w:r>
    </w:p>
    <w:p w14:paraId="57A9293F"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 xml:space="preserve">Article 11: Dismiss Mr. Duong Manh Cuong from the position of Member of the Board of Directors for the 2020-2025 term. </w:t>
      </w:r>
    </w:p>
    <w:p w14:paraId="0FA03BF1"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Article 12: Approve 01 additional member elected to the Board of Directors to replace for the 2020-2025 term.</w:t>
      </w:r>
    </w:p>
    <w:p w14:paraId="11284F2A"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Article 13: Approve the election of Mr. Le Dinh Tuan to the Board of Directors for the 2020-2025 term.</w:t>
      </w:r>
    </w:p>
    <w:p w14:paraId="5271C417" w14:textId="77777777" w:rsidR="00380929" w:rsidRPr="004E4D5E" w:rsidRDefault="008E0894" w:rsidP="008E0894">
      <w:pPr>
        <w:pBdr>
          <w:top w:val="nil"/>
          <w:left w:val="nil"/>
          <w:bottom w:val="nil"/>
          <w:right w:val="nil"/>
          <w:between w:val="nil"/>
        </w:pBdr>
        <w:tabs>
          <w:tab w:val="left" w:pos="284"/>
        </w:tabs>
        <w:spacing w:after="120" w:line="360" w:lineRule="auto"/>
        <w:rPr>
          <w:rFonts w:ascii="Arial" w:eastAsia="Arial" w:hAnsi="Arial" w:cs="Arial"/>
          <w:sz w:val="20"/>
          <w:szCs w:val="20"/>
        </w:rPr>
      </w:pPr>
      <w:r w:rsidRPr="004E4D5E">
        <w:rPr>
          <w:rFonts w:ascii="Arial" w:hAnsi="Arial" w:cs="Arial"/>
          <w:sz w:val="20"/>
        </w:rPr>
        <w:t>Article 14: The Board of Directors and the Board of Managers of the Company are responsible for implementing this General Mandate.</w:t>
      </w:r>
    </w:p>
    <w:p w14:paraId="717C8B48" w14:textId="77777777" w:rsidR="00380929" w:rsidRPr="008E0894" w:rsidRDefault="008E0894" w:rsidP="008E0894">
      <w:pPr>
        <w:tabs>
          <w:tab w:val="left" w:pos="284"/>
        </w:tabs>
        <w:spacing w:after="120" w:line="360" w:lineRule="auto"/>
        <w:rPr>
          <w:rFonts w:ascii="Arial" w:eastAsia="Arial" w:hAnsi="Arial" w:cs="Arial"/>
          <w:sz w:val="20"/>
          <w:szCs w:val="20"/>
        </w:rPr>
      </w:pPr>
      <w:r w:rsidRPr="004E4D5E">
        <w:rPr>
          <w:rFonts w:ascii="Arial" w:hAnsi="Arial" w:cs="Arial"/>
          <w:sz w:val="20"/>
        </w:rPr>
        <w:t>Article 15: This General Mandate takes effect from the date of signing.</w:t>
      </w:r>
    </w:p>
    <w:sectPr w:rsidR="00380929" w:rsidRPr="008E0894" w:rsidSect="008E089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8BE"/>
    <w:multiLevelType w:val="hybridMultilevel"/>
    <w:tmpl w:val="60FE7D58"/>
    <w:lvl w:ilvl="0" w:tplc="B61276D8">
      <w:start w:val="1"/>
      <w:numFmt w:val="bullet"/>
      <w:lvlText w:val="+"/>
      <w:lvlJc w:val="left"/>
      <w:pPr>
        <w:ind w:left="720" w:hanging="360"/>
      </w:pPr>
      <w:rPr>
        <w:rFonts w:ascii="Arial" w:hAnsi="Arial" w:hint="default"/>
        <w:b w:val="0"/>
        <w:i w:val="0"/>
        <w:sz w:val="20"/>
      </w:rPr>
    </w:lvl>
    <w:lvl w:ilvl="1" w:tplc="5A2E29C6" w:tentative="1">
      <w:start w:val="1"/>
      <w:numFmt w:val="bullet"/>
      <w:lvlText w:val="o"/>
      <w:lvlJc w:val="left"/>
      <w:pPr>
        <w:ind w:left="1440" w:hanging="360"/>
      </w:pPr>
      <w:rPr>
        <w:rFonts w:ascii="Courier New" w:hAnsi="Courier New" w:cs="Courier New" w:hint="default"/>
        <w:b w:val="0"/>
        <w:i w:val="0"/>
        <w:sz w:val="20"/>
      </w:rPr>
    </w:lvl>
    <w:lvl w:ilvl="2" w:tplc="18C8241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01FFB"/>
    <w:multiLevelType w:val="multilevel"/>
    <w:tmpl w:val="06E85DB0"/>
    <w:lvl w:ilvl="0">
      <w:start w:val="1"/>
      <w:numFmt w:val="bullet"/>
      <w:lvlText w:val="-"/>
      <w:lvlJc w:val="left"/>
      <w:pPr>
        <w:ind w:left="0" w:firstLine="0"/>
      </w:pPr>
      <w:rPr>
        <w:rFonts w:ascii="Times New Roman" w:eastAsia="Times New Roman" w:hAnsi="Times New Roman" w:cs="Times New Roman"/>
        <w:b w:val="0"/>
        <w:i w:val="0"/>
        <w:smallCaps w:val="0"/>
        <w:strike w:val="0"/>
        <w:color w:val="393B3E"/>
        <w:sz w:val="20"/>
        <w:szCs w:val="22"/>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B8629FB"/>
    <w:multiLevelType w:val="hybridMultilevel"/>
    <w:tmpl w:val="035AE156"/>
    <w:lvl w:ilvl="0" w:tplc="5932564C">
      <w:start w:val="1"/>
      <w:numFmt w:val="lowerRoman"/>
      <w:lvlText w:val="(%1)"/>
      <w:lvlJc w:val="left"/>
      <w:pPr>
        <w:ind w:left="1080" w:hanging="720"/>
      </w:pPr>
      <w:rPr>
        <w:rFonts w:eastAsia="Courier New" w:hint="default"/>
        <w:b w:val="0"/>
        <w:i w:val="0"/>
        <w:sz w:val="20"/>
      </w:rPr>
    </w:lvl>
    <w:lvl w:ilvl="1" w:tplc="FED6F506" w:tentative="1">
      <w:start w:val="1"/>
      <w:numFmt w:val="lowerLetter"/>
      <w:lvlText w:val="%2."/>
      <w:lvlJc w:val="left"/>
      <w:pPr>
        <w:ind w:left="1440" w:hanging="360"/>
      </w:pPr>
      <w:rPr>
        <w:b w:val="0"/>
        <w:i w:val="0"/>
        <w:sz w:val="20"/>
      </w:rPr>
    </w:lvl>
    <w:lvl w:ilvl="2" w:tplc="4DDA00B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29"/>
    <w:rsid w:val="00380929"/>
    <w:rsid w:val="004E4D5E"/>
    <w:rsid w:val="0083343B"/>
    <w:rsid w:val="008E0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D561A"/>
  <w15:docId w15:val="{85304EE4-DC48-4817-9116-1015D173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lang w:eastAsia="vi-VN" w:bidi="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qFormat/>
    <w:rPr>
      <w:rFonts w:ascii="Times New Roman" w:eastAsia="Times New Roman" w:hAnsi="Times New Roman" w:cs="Times New Roman"/>
      <w:color w:val="393B3E"/>
      <w:sz w:val="22"/>
      <w:szCs w:val="22"/>
    </w:rPr>
  </w:style>
  <w:style w:type="character" w:customStyle="1" w:styleId="Bodytext3">
    <w:name w:val="Body text (3)_"/>
    <w:basedOn w:val="DefaultParagraphFont"/>
    <w:link w:val="Bodytext30"/>
    <w:qFormat/>
    <w:rPr>
      <w:rFonts w:ascii="Tahoma" w:eastAsia="Tahoma" w:hAnsi="Tahoma" w:cs="Tahoma"/>
      <w:color w:val="E8818E"/>
      <w:w w:val="80"/>
      <w:sz w:val="22"/>
      <w:szCs w:val="22"/>
      <w:u w:val="none"/>
      <w:shd w:val="clear" w:color="auto" w:fill="auto"/>
    </w:rPr>
  </w:style>
  <w:style w:type="paragraph" w:customStyle="1" w:styleId="Bodytext30">
    <w:name w:val="Body text (3)"/>
    <w:basedOn w:val="Normal"/>
    <w:link w:val="Bodytext3"/>
    <w:pPr>
      <w:spacing w:line="264" w:lineRule="auto"/>
      <w:jc w:val="right"/>
    </w:pPr>
    <w:rPr>
      <w:rFonts w:ascii="Tahoma" w:eastAsia="Tahoma" w:hAnsi="Tahoma" w:cs="Tahoma"/>
      <w:color w:val="E8818E"/>
      <w:w w:val="80"/>
      <w:sz w:val="22"/>
      <w:szCs w:val="22"/>
    </w:rPr>
  </w:style>
  <w:style w:type="character" w:customStyle="1" w:styleId="BodyTextChar">
    <w:name w:val="Body Text Char"/>
    <w:basedOn w:val="DefaultParagraphFont"/>
    <w:link w:val="BodyText"/>
    <w:rPr>
      <w:rFonts w:ascii="Times New Roman" w:eastAsia="Times New Roman" w:hAnsi="Times New Roman" w:cs="Times New Roman"/>
      <w:color w:val="393B3E"/>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sz w:val="26"/>
      <w:szCs w:val="26"/>
      <w:u w:val="none"/>
      <w:shd w:val="clear" w:color="auto" w:fill="auto"/>
    </w:rPr>
  </w:style>
  <w:style w:type="paragraph" w:customStyle="1" w:styleId="Heading11">
    <w:name w:val="Heading #1"/>
    <w:basedOn w:val="Normal"/>
    <w:link w:val="Heading10"/>
    <w:qFormat/>
    <w:pPr>
      <w:spacing w:line="276" w:lineRule="auto"/>
      <w:jc w:val="center"/>
      <w:outlineLvl w:val="0"/>
    </w:pPr>
    <w:rPr>
      <w:rFonts w:ascii="Times New Roman" w:eastAsia="Times New Roman" w:hAnsi="Times New Roman" w:cs="Times New Roman"/>
      <w:b/>
      <w:bCs/>
      <w:sz w:val="26"/>
      <w:szCs w:val="26"/>
    </w:rPr>
  </w:style>
  <w:style w:type="character" w:customStyle="1" w:styleId="Tablecaption">
    <w:name w:val="Table caption_"/>
    <w:basedOn w:val="DefaultParagraphFont"/>
    <w:link w:val="Tablecaption0"/>
    <w:rPr>
      <w:rFonts w:ascii="Times New Roman" w:eastAsia="Times New Roman" w:hAnsi="Times New Roman" w:cs="Times New Roman"/>
      <w:sz w:val="22"/>
      <w:szCs w:val="22"/>
      <w:u w:val="none"/>
      <w:shd w:val="clear" w:color="auto" w:fill="auto"/>
    </w:rPr>
  </w:style>
  <w:style w:type="paragraph" w:customStyle="1" w:styleId="Tablecaption0">
    <w:name w:val="Table caption"/>
    <w:basedOn w:val="Normal"/>
    <w:link w:val="Tablecaption"/>
    <w:qFormat/>
    <w:rPr>
      <w:rFonts w:ascii="Times New Roman" w:eastAsia="Times New Roman" w:hAnsi="Times New Roman" w:cs="Times New Roman"/>
      <w:sz w:val="22"/>
      <w:szCs w:val="22"/>
    </w:rPr>
  </w:style>
  <w:style w:type="character" w:customStyle="1" w:styleId="Other">
    <w:name w:val="Other_"/>
    <w:basedOn w:val="DefaultParagraphFont"/>
    <w:link w:val="Other0"/>
    <w:rPr>
      <w:rFonts w:ascii="Times New Roman" w:eastAsia="Times New Roman" w:hAnsi="Times New Roman" w:cs="Times New Roman"/>
      <w:color w:val="393B3E"/>
      <w:sz w:val="22"/>
      <w:szCs w:val="22"/>
      <w:u w:val="none"/>
      <w:shd w:val="clear" w:color="auto" w:fill="auto"/>
    </w:rPr>
  </w:style>
  <w:style w:type="paragraph" w:customStyle="1" w:styleId="Other0">
    <w:name w:val="Other"/>
    <w:basedOn w:val="Normal"/>
    <w:link w:val="Other"/>
    <w:rPr>
      <w:rFonts w:ascii="Times New Roman" w:eastAsia="Times New Roman" w:hAnsi="Times New Roman" w:cs="Times New Roman"/>
      <w:color w:val="393B3E"/>
      <w:sz w:val="22"/>
      <w:szCs w:val="22"/>
    </w:rPr>
  </w:style>
  <w:style w:type="character" w:customStyle="1" w:styleId="Bodytext4">
    <w:name w:val="Body text (4)_"/>
    <w:basedOn w:val="DefaultParagraphFont"/>
    <w:link w:val="Bodytext40"/>
    <w:rPr>
      <w:rFonts w:ascii="Times New Roman" w:eastAsia="Times New Roman" w:hAnsi="Times New Roman" w:cs="Times New Roman"/>
      <w:color w:val="393B3E"/>
      <w:sz w:val="30"/>
      <w:szCs w:val="30"/>
      <w:u w:val="none"/>
      <w:shd w:val="clear" w:color="auto" w:fill="auto"/>
    </w:rPr>
  </w:style>
  <w:style w:type="paragraph" w:customStyle="1" w:styleId="Bodytext40">
    <w:name w:val="Body text (4)"/>
    <w:basedOn w:val="Normal"/>
    <w:link w:val="Bodytext4"/>
    <w:pPr>
      <w:jc w:val="right"/>
    </w:pPr>
    <w:rPr>
      <w:rFonts w:ascii="Times New Roman" w:eastAsia="Times New Roman" w:hAnsi="Times New Roman" w:cs="Times New Roman"/>
      <w:color w:val="393B3E"/>
      <w:sz w:val="30"/>
      <w:szCs w:val="30"/>
    </w:rPr>
  </w:style>
  <w:style w:type="character" w:customStyle="1" w:styleId="Heading20">
    <w:name w:val="Heading #2_"/>
    <w:basedOn w:val="DefaultParagraphFont"/>
    <w:link w:val="Heading21"/>
    <w:rPr>
      <w:rFonts w:ascii="Arial" w:eastAsia="Arial" w:hAnsi="Arial" w:cs="Arial"/>
      <w:u w:val="none"/>
      <w:shd w:val="clear" w:color="auto" w:fill="auto"/>
    </w:rPr>
  </w:style>
  <w:style w:type="paragraph" w:customStyle="1" w:styleId="Heading21">
    <w:name w:val="Heading #2"/>
    <w:basedOn w:val="Normal"/>
    <w:link w:val="Heading20"/>
    <w:pPr>
      <w:outlineLvl w:val="1"/>
    </w:pPr>
    <w:rPr>
      <w:rFonts w:ascii="Arial" w:eastAsia="Arial" w:hAnsi="Arial" w:cs="Arial"/>
    </w:rPr>
  </w:style>
  <w:style w:type="character" w:customStyle="1" w:styleId="Bodytext2">
    <w:name w:val="Body text (2)_"/>
    <w:basedOn w:val="DefaultParagraphFont"/>
    <w:link w:val="Bodytext20"/>
    <w:rPr>
      <w:rFonts w:ascii="Arial" w:eastAsia="Arial" w:hAnsi="Arial" w:cs="Arial"/>
      <w:sz w:val="9"/>
      <w:szCs w:val="9"/>
      <w:u w:val="none"/>
      <w:shd w:val="clear" w:color="auto" w:fill="auto"/>
    </w:rPr>
  </w:style>
  <w:style w:type="paragraph" w:customStyle="1" w:styleId="Bodytext20">
    <w:name w:val="Body text (2)"/>
    <w:basedOn w:val="Normal"/>
    <w:link w:val="Bodytext2"/>
    <w:rPr>
      <w:rFonts w:ascii="Arial" w:eastAsia="Arial" w:hAnsi="Arial" w:cs="Arial"/>
      <w:sz w:val="9"/>
      <w:szCs w:val="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833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7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qhTl9B/zYZOgLr3+KE88QzTn0Q==">CgMxLjAyCWguMWZvYjl0ZTgAciExSFNnYUJvUFA4alE1UHFzOERSVkhtMmZ1WjcyUzRMUlU=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724</Words>
  <Characters>3775</Characters>
  <Application>Microsoft Office Word</Application>
  <DocSecurity>0</DocSecurity>
  <Lines>73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Minh Hiếu Kiều</cp:lastModifiedBy>
  <cp:revision>4</cp:revision>
  <dcterms:created xsi:type="dcterms:W3CDTF">2024-04-09T04:27:00Z</dcterms:created>
  <dcterms:modified xsi:type="dcterms:W3CDTF">2024-04-11T02:46:00Z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A41D3943CEB44A76BB07F5EE8784C0A3_12</vt:lpwstr>
  </property>
  <property fmtid="{D5CDD505-2E9C-101B-9397-08002B2CF9AE}" pid="4" name="GrammarlyDocumentId">
    <vt:lpwstr>458d751806db2a13093368cf88e411c8195493a18fa778de0d5fa1b9f03f8245</vt:lpwstr>
  </property>
</Properties>
</file>