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67A07" w:rsidRDefault="009E02CD" w:rsidP="009E02CD">
      <w:pPr>
        <w:pBdr>
          <w:top w:val="nil"/>
          <w:left w:val="nil"/>
          <w:bottom w:val="nil"/>
          <w:right w:val="nil"/>
          <w:between w:val="nil"/>
        </w:pBdr>
        <w:tabs>
          <w:tab w:val="left" w:pos="432"/>
          <w:tab w:val="left" w:pos="3850"/>
        </w:tabs>
        <w:spacing w:after="120" w:line="360" w:lineRule="auto"/>
        <w:jc w:val="both"/>
        <w:rPr>
          <w:rFonts w:ascii="Arial" w:eastAsia="Arial" w:hAnsi="Arial" w:cs="Arial"/>
          <w:b/>
          <w:color w:val="010000"/>
          <w:sz w:val="20"/>
          <w:szCs w:val="20"/>
        </w:rPr>
      </w:pPr>
      <w:r>
        <w:rPr>
          <w:rFonts w:ascii="Arial" w:hAnsi="Arial"/>
          <w:b/>
          <w:color w:val="010000"/>
          <w:sz w:val="20"/>
        </w:rPr>
        <w:t xml:space="preserve">SDD: </w:t>
      </w:r>
      <w:r>
        <w:rPr>
          <w:rFonts w:ascii="Arial" w:hAnsi="Arial"/>
          <w:b/>
          <w:color w:val="010000"/>
          <w:sz w:val="20"/>
        </w:rPr>
        <w:t>Board Resolution</w:t>
      </w:r>
    </w:p>
    <w:p w14:paraId="00000002" w14:textId="77777777" w:rsidR="00067A07" w:rsidRDefault="009E02CD" w:rsidP="009E02CD">
      <w:pPr>
        <w:pBdr>
          <w:top w:val="nil"/>
          <w:left w:val="nil"/>
          <w:bottom w:val="nil"/>
          <w:right w:val="nil"/>
          <w:between w:val="nil"/>
        </w:pBdr>
        <w:tabs>
          <w:tab w:val="left" w:pos="432"/>
          <w:tab w:val="left" w:pos="3850"/>
        </w:tabs>
        <w:spacing w:after="120" w:line="360" w:lineRule="auto"/>
        <w:jc w:val="both"/>
        <w:rPr>
          <w:rFonts w:ascii="Arial" w:eastAsia="Arial" w:hAnsi="Arial" w:cs="Arial"/>
          <w:color w:val="010000"/>
          <w:sz w:val="20"/>
          <w:szCs w:val="20"/>
        </w:rPr>
      </w:pPr>
      <w:r>
        <w:rPr>
          <w:rFonts w:ascii="Arial" w:hAnsi="Arial"/>
          <w:color w:val="010000"/>
          <w:sz w:val="20"/>
        </w:rPr>
        <w:t>On April 8, 2024, Song Da Investment and Construction Joint Stock Company announced Resolution No. 02/2024/NQ-SDD-HDQT on the organization of the Annual General Meeting of Shareholders 2024 as follows:</w:t>
      </w:r>
    </w:p>
    <w:p w14:paraId="00000003" w14:textId="77777777" w:rsidR="00067A07" w:rsidRDefault="009E02CD" w:rsidP="009E02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1: </w:t>
      </w:r>
      <w:r>
        <w:rPr>
          <w:rFonts w:ascii="Arial" w:hAnsi="Arial"/>
          <w:color w:val="010000"/>
          <w:sz w:val="20"/>
        </w:rPr>
        <w:t>The Board of Directors approves the organization plan of the Company's Annual General Meeting of Shareholders 2024 as follows:</w:t>
      </w:r>
    </w:p>
    <w:p w14:paraId="00000004" w14:textId="77777777" w:rsidR="00067A07" w:rsidRDefault="009E02CD" w:rsidP="009E02CD">
      <w:pPr>
        <w:numPr>
          <w:ilvl w:val="0"/>
          <w:numId w:val="1"/>
        </w:numPr>
        <w:pBdr>
          <w:top w:val="nil"/>
          <w:left w:val="nil"/>
          <w:bottom w:val="nil"/>
          <w:right w:val="nil"/>
          <w:between w:val="nil"/>
        </w:pBdr>
        <w:tabs>
          <w:tab w:val="left" w:pos="432"/>
          <w:tab w:val="left" w:pos="1073"/>
        </w:tabs>
        <w:spacing w:after="120" w:line="360" w:lineRule="auto"/>
        <w:ind w:left="0" w:firstLine="0"/>
        <w:jc w:val="both"/>
        <w:rPr>
          <w:rFonts w:ascii="Arial" w:eastAsia="Arial" w:hAnsi="Arial" w:cs="Arial"/>
          <w:color w:val="010000"/>
          <w:sz w:val="20"/>
          <w:szCs w:val="20"/>
        </w:rPr>
      </w:pPr>
      <w:r>
        <w:rPr>
          <w:rFonts w:ascii="Arial" w:hAnsi="Arial"/>
          <w:color w:val="010000"/>
          <w:sz w:val="20"/>
        </w:rPr>
        <w:t>Record date for the list of shareholders to attend the Meeting: March 26, 2024.</w:t>
      </w:r>
    </w:p>
    <w:p w14:paraId="00000005" w14:textId="77777777" w:rsidR="00067A07" w:rsidRDefault="009E02CD" w:rsidP="009E02CD">
      <w:pPr>
        <w:numPr>
          <w:ilvl w:val="0"/>
          <w:numId w:val="1"/>
        </w:numPr>
        <w:pBdr>
          <w:top w:val="nil"/>
          <w:left w:val="nil"/>
          <w:bottom w:val="nil"/>
          <w:right w:val="nil"/>
          <w:between w:val="nil"/>
        </w:pBdr>
        <w:tabs>
          <w:tab w:val="left" w:pos="432"/>
          <w:tab w:val="left" w:pos="1093"/>
        </w:tabs>
        <w:spacing w:after="120" w:line="360" w:lineRule="auto"/>
        <w:ind w:left="0" w:firstLine="0"/>
        <w:jc w:val="both"/>
        <w:rPr>
          <w:rFonts w:ascii="Arial" w:eastAsia="Arial" w:hAnsi="Arial" w:cs="Arial"/>
          <w:color w:val="010000"/>
          <w:sz w:val="20"/>
          <w:szCs w:val="20"/>
        </w:rPr>
      </w:pPr>
      <w:r>
        <w:rPr>
          <w:rFonts w:ascii="Arial" w:hAnsi="Arial"/>
          <w:color w:val="010000"/>
          <w:sz w:val="20"/>
        </w:rPr>
        <w:t>Notice date of Invitation (Replacement of Invitation letter) and disclosure of documents submitted to the Annual General Meeting of Shareholders 2024 on the Company's Website: April 6, 2024.</w:t>
      </w:r>
    </w:p>
    <w:p w14:paraId="00000006" w14:textId="77777777" w:rsidR="00067A07" w:rsidRDefault="009E02CD" w:rsidP="009E02CD">
      <w:pPr>
        <w:numPr>
          <w:ilvl w:val="0"/>
          <w:numId w:val="1"/>
        </w:numPr>
        <w:pBdr>
          <w:top w:val="nil"/>
          <w:left w:val="nil"/>
          <w:bottom w:val="nil"/>
          <w:right w:val="nil"/>
          <w:between w:val="nil"/>
        </w:pBdr>
        <w:tabs>
          <w:tab w:val="left" w:pos="432"/>
          <w:tab w:val="left" w:pos="1097"/>
        </w:tabs>
        <w:spacing w:after="120" w:line="360" w:lineRule="auto"/>
        <w:ind w:left="0" w:firstLine="0"/>
        <w:jc w:val="both"/>
        <w:rPr>
          <w:rFonts w:ascii="Arial" w:eastAsia="Arial" w:hAnsi="Arial" w:cs="Arial"/>
          <w:color w:val="010000"/>
          <w:sz w:val="20"/>
          <w:szCs w:val="20"/>
        </w:rPr>
      </w:pPr>
      <w:r>
        <w:rPr>
          <w:rFonts w:ascii="Arial" w:hAnsi="Arial"/>
          <w:color w:val="010000"/>
          <w:sz w:val="20"/>
        </w:rPr>
        <w:t>Time to organize the Annual General Meeting of Shareholders 2024:</w:t>
      </w:r>
      <w:r>
        <w:rPr>
          <w:rFonts w:ascii="Arial" w:hAnsi="Arial"/>
          <w:color w:val="010000"/>
          <w:sz w:val="20"/>
        </w:rPr>
        <w:t xml:space="preserve"> 2.00 p.m. on April 29, 2024</w:t>
      </w:r>
    </w:p>
    <w:p w14:paraId="00000007" w14:textId="5EC7D998" w:rsidR="00067A07" w:rsidRDefault="009E02CD" w:rsidP="009E02CD">
      <w:pPr>
        <w:numPr>
          <w:ilvl w:val="0"/>
          <w:numId w:val="1"/>
        </w:numPr>
        <w:pBdr>
          <w:top w:val="nil"/>
          <w:left w:val="nil"/>
          <w:bottom w:val="nil"/>
          <w:right w:val="nil"/>
          <w:between w:val="nil"/>
        </w:pBdr>
        <w:tabs>
          <w:tab w:val="left" w:pos="432"/>
          <w:tab w:val="left" w:pos="1107"/>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Venue: Hall of </w:t>
      </w:r>
      <w:proofErr w:type="spellStart"/>
      <w:r>
        <w:rPr>
          <w:rFonts w:ascii="Arial" w:hAnsi="Arial"/>
          <w:color w:val="010000"/>
          <w:sz w:val="20"/>
        </w:rPr>
        <w:t>Muong</w:t>
      </w:r>
      <w:proofErr w:type="spellEnd"/>
      <w:r>
        <w:rPr>
          <w:rFonts w:ascii="Arial" w:hAnsi="Arial"/>
          <w:color w:val="010000"/>
          <w:sz w:val="20"/>
        </w:rPr>
        <w:t xml:space="preserve"> Sang 2 Hydropower Plant, </w:t>
      </w:r>
      <w:proofErr w:type="spellStart"/>
      <w:r>
        <w:rPr>
          <w:rFonts w:ascii="Arial" w:hAnsi="Arial"/>
          <w:color w:val="010000"/>
          <w:sz w:val="20"/>
        </w:rPr>
        <w:t>Muong</w:t>
      </w:r>
      <w:proofErr w:type="spellEnd"/>
      <w:r>
        <w:rPr>
          <w:rFonts w:ascii="Arial" w:hAnsi="Arial"/>
          <w:color w:val="010000"/>
          <w:sz w:val="20"/>
        </w:rPr>
        <w:t xml:space="preserve"> Sang Commune, </w:t>
      </w:r>
      <w:bookmarkStart w:id="0" w:name="_GoBack"/>
      <w:bookmarkEnd w:id="0"/>
      <w:proofErr w:type="spellStart"/>
      <w:r>
        <w:rPr>
          <w:rFonts w:ascii="Arial" w:hAnsi="Arial"/>
          <w:color w:val="010000"/>
          <w:sz w:val="20"/>
        </w:rPr>
        <w:t>Moc</w:t>
      </w:r>
      <w:proofErr w:type="spellEnd"/>
      <w:r>
        <w:rPr>
          <w:rFonts w:ascii="Arial" w:hAnsi="Arial"/>
          <w:color w:val="010000"/>
          <w:sz w:val="20"/>
        </w:rPr>
        <w:t xml:space="preserve"> Chau District, Son La Province </w:t>
      </w:r>
    </w:p>
    <w:p w14:paraId="00000008" w14:textId="77777777" w:rsidR="00067A07" w:rsidRDefault="009E02CD" w:rsidP="009E02CD">
      <w:pPr>
        <w:numPr>
          <w:ilvl w:val="0"/>
          <w:numId w:val="1"/>
        </w:numPr>
        <w:pBdr>
          <w:top w:val="nil"/>
          <w:left w:val="nil"/>
          <w:bottom w:val="nil"/>
          <w:right w:val="nil"/>
          <w:between w:val="nil"/>
        </w:pBdr>
        <w:tabs>
          <w:tab w:val="left" w:pos="432"/>
          <w:tab w:val="left" w:pos="1097"/>
        </w:tabs>
        <w:spacing w:after="120" w:line="360" w:lineRule="auto"/>
        <w:ind w:left="0" w:firstLine="0"/>
        <w:jc w:val="both"/>
        <w:rPr>
          <w:rFonts w:ascii="Arial" w:eastAsia="Arial" w:hAnsi="Arial" w:cs="Arial"/>
          <w:color w:val="010000"/>
          <w:sz w:val="20"/>
          <w:szCs w:val="20"/>
        </w:rPr>
      </w:pPr>
      <w:r>
        <w:rPr>
          <w:rFonts w:ascii="Arial" w:hAnsi="Arial"/>
          <w:color w:val="010000"/>
          <w:sz w:val="20"/>
        </w:rPr>
        <w:t>Meeting agenda:</w:t>
      </w:r>
    </w:p>
    <w:p w14:paraId="00000009" w14:textId="77777777" w:rsidR="00067A07" w:rsidRDefault="009E02CD" w:rsidP="009E02CD">
      <w:pPr>
        <w:numPr>
          <w:ilvl w:val="0"/>
          <w:numId w:val="2"/>
        </w:numPr>
        <w:pBdr>
          <w:top w:val="nil"/>
          <w:left w:val="nil"/>
          <w:bottom w:val="nil"/>
          <w:right w:val="nil"/>
          <w:between w:val="nil"/>
        </w:pBdr>
        <w:tabs>
          <w:tab w:val="left" w:pos="267"/>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Content 01: </w:t>
      </w:r>
      <w:r>
        <w:rPr>
          <w:rFonts w:ascii="Arial" w:hAnsi="Arial"/>
          <w:color w:val="010000"/>
          <w:sz w:val="20"/>
        </w:rPr>
        <w:t>Report on the production and business results in 2023 and the plan on production and business for 2024 of the Board of Managers;</w:t>
      </w:r>
    </w:p>
    <w:p w14:paraId="0000000A" w14:textId="77777777" w:rsidR="00067A07" w:rsidRDefault="009E02CD" w:rsidP="009E02CD">
      <w:pPr>
        <w:numPr>
          <w:ilvl w:val="0"/>
          <w:numId w:val="2"/>
        </w:numPr>
        <w:pBdr>
          <w:top w:val="nil"/>
          <w:left w:val="nil"/>
          <w:bottom w:val="nil"/>
          <w:right w:val="nil"/>
          <w:between w:val="nil"/>
        </w:pBdr>
        <w:tabs>
          <w:tab w:val="left" w:pos="267"/>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Content 02: Report on the activities in 2023 and the operating plan for 2024 of the Board of Directors;</w:t>
      </w:r>
    </w:p>
    <w:p w14:paraId="0000000B" w14:textId="77777777" w:rsidR="00067A07" w:rsidRDefault="009E02CD" w:rsidP="009E02CD">
      <w:pPr>
        <w:numPr>
          <w:ilvl w:val="0"/>
          <w:numId w:val="2"/>
        </w:numPr>
        <w:pBdr>
          <w:top w:val="nil"/>
          <w:left w:val="nil"/>
          <w:bottom w:val="nil"/>
          <w:right w:val="nil"/>
          <w:between w:val="nil"/>
        </w:pBdr>
        <w:tabs>
          <w:tab w:val="left" w:pos="277"/>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Content 03: Audited Fin</w:t>
      </w:r>
      <w:r>
        <w:rPr>
          <w:rFonts w:ascii="Arial" w:hAnsi="Arial"/>
          <w:color w:val="010000"/>
          <w:sz w:val="20"/>
        </w:rPr>
        <w:t>ancial Statements 2023;</w:t>
      </w:r>
    </w:p>
    <w:p w14:paraId="0000000C" w14:textId="77777777" w:rsidR="00067A07" w:rsidRDefault="009E02CD" w:rsidP="009E02CD">
      <w:pPr>
        <w:numPr>
          <w:ilvl w:val="0"/>
          <w:numId w:val="2"/>
        </w:numPr>
        <w:pBdr>
          <w:top w:val="nil"/>
          <w:left w:val="nil"/>
          <w:bottom w:val="nil"/>
          <w:right w:val="nil"/>
          <w:between w:val="nil"/>
        </w:pBdr>
        <w:tabs>
          <w:tab w:val="left" w:pos="277"/>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Content 04: Report on activities in 2023 and plan for 2024 of the Supervisory Board;</w:t>
      </w:r>
    </w:p>
    <w:p w14:paraId="0000000D" w14:textId="77777777" w:rsidR="00067A07" w:rsidRDefault="009E02CD" w:rsidP="009E02CD">
      <w:pPr>
        <w:numPr>
          <w:ilvl w:val="0"/>
          <w:numId w:val="2"/>
        </w:numPr>
        <w:pBdr>
          <w:top w:val="nil"/>
          <w:left w:val="nil"/>
          <w:bottom w:val="nil"/>
          <w:right w:val="nil"/>
          <w:between w:val="nil"/>
        </w:pBdr>
        <w:tabs>
          <w:tab w:val="left" w:pos="286"/>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Content 05: Plan on profit distribution in 2023;</w:t>
      </w:r>
    </w:p>
    <w:p w14:paraId="0000000E" w14:textId="77777777" w:rsidR="00067A07" w:rsidRDefault="009E02CD" w:rsidP="009E02CD">
      <w:pPr>
        <w:numPr>
          <w:ilvl w:val="0"/>
          <w:numId w:val="2"/>
        </w:numPr>
        <w:pBdr>
          <w:top w:val="nil"/>
          <w:left w:val="nil"/>
          <w:bottom w:val="nil"/>
          <w:right w:val="nil"/>
          <w:between w:val="nil"/>
        </w:pBdr>
        <w:tabs>
          <w:tab w:val="left" w:pos="277"/>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Content 06: Remuneration for the Board of Directors, the Supervisory Board in 2023 and remuneratio</w:t>
      </w:r>
      <w:r>
        <w:rPr>
          <w:rFonts w:ascii="Arial" w:hAnsi="Arial"/>
          <w:color w:val="010000"/>
          <w:sz w:val="20"/>
        </w:rPr>
        <w:t>n plan for the Board of Directors, the Supervisory Board for 2024;</w:t>
      </w:r>
    </w:p>
    <w:p w14:paraId="0000000F" w14:textId="77777777" w:rsidR="00067A07" w:rsidRDefault="009E02CD" w:rsidP="009E02CD">
      <w:pPr>
        <w:numPr>
          <w:ilvl w:val="0"/>
          <w:numId w:val="2"/>
        </w:numPr>
        <w:pBdr>
          <w:top w:val="nil"/>
          <w:left w:val="nil"/>
          <w:bottom w:val="nil"/>
          <w:right w:val="nil"/>
          <w:between w:val="nil"/>
        </w:pBdr>
        <w:tabs>
          <w:tab w:val="left" w:pos="277"/>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Content 07: Selection of an audit company for the Financial Statements 2024;</w:t>
      </w:r>
    </w:p>
    <w:p w14:paraId="00000010" w14:textId="77777777" w:rsidR="00067A07" w:rsidRDefault="009E02CD" w:rsidP="009E02CD">
      <w:pPr>
        <w:numPr>
          <w:ilvl w:val="0"/>
          <w:numId w:val="2"/>
        </w:numPr>
        <w:pBdr>
          <w:top w:val="nil"/>
          <w:left w:val="nil"/>
          <w:bottom w:val="nil"/>
          <w:right w:val="nil"/>
          <w:between w:val="nil"/>
        </w:pBdr>
        <w:tabs>
          <w:tab w:val="left" w:pos="277"/>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Content 08: </w:t>
      </w:r>
      <w:r>
        <w:rPr>
          <w:rFonts w:ascii="Arial" w:hAnsi="Arial"/>
          <w:color w:val="010000"/>
          <w:sz w:val="20"/>
        </w:rPr>
        <w:t>Elect members of the Board of Directors and the Supervisory Board for the term of 2024 - 2029;</w:t>
      </w:r>
    </w:p>
    <w:p w14:paraId="00000011" w14:textId="77777777" w:rsidR="00067A07" w:rsidRDefault="009E02CD" w:rsidP="009E02CD">
      <w:pPr>
        <w:numPr>
          <w:ilvl w:val="0"/>
          <w:numId w:val="2"/>
        </w:numPr>
        <w:pBdr>
          <w:top w:val="nil"/>
          <w:left w:val="nil"/>
          <w:bottom w:val="nil"/>
          <w:right w:val="nil"/>
          <w:between w:val="nil"/>
        </w:pBdr>
        <w:tabs>
          <w:tab w:val="left" w:pos="282"/>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Content 09: Approve the plan to move the company's headquarters and the amended Company's Charter of Organization and Operation;</w:t>
      </w:r>
    </w:p>
    <w:p w14:paraId="00000012" w14:textId="77777777" w:rsidR="00067A07" w:rsidRDefault="009E02CD" w:rsidP="009E02CD">
      <w:pPr>
        <w:numPr>
          <w:ilvl w:val="0"/>
          <w:numId w:val="2"/>
        </w:numPr>
        <w:pBdr>
          <w:top w:val="nil"/>
          <w:left w:val="nil"/>
          <w:bottom w:val="nil"/>
          <w:right w:val="nil"/>
          <w:between w:val="nil"/>
        </w:pBdr>
        <w:tabs>
          <w:tab w:val="left" w:pos="282"/>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Content 10: Approve the plan to stop investment in Thu Cuc hydroelectric plant project in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Tho</w:t>
      </w:r>
      <w:proofErr w:type="spellEnd"/>
      <w:r>
        <w:rPr>
          <w:rFonts w:ascii="Arial" w:hAnsi="Arial"/>
          <w:color w:val="010000"/>
          <w:sz w:val="20"/>
        </w:rPr>
        <w:t xml:space="preserve"> Province and other contents u</w:t>
      </w:r>
      <w:r>
        <w:rPr>
          <w:rFonts w:ascii="Arial" w:hAnsi="Arial"/>
          <w:color w:val="010000"/>
          <w:sz w:val="20"/>
        </w:rPr>
        <w:t>nder the authority of the Meeting;</w:t>
      </w:r>
    </w:p>
    <w:p w14:paraId="00000013" w14:textId="77777777" w:rsidR="00067A07" w:rsidRDefault="009E02CD" w:rsidP="009E02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This Resolution takes effect from the date of signing. The Board of Directors, the Board of Managers, Heads of departments and relevant shareholders are responsible for the implementation of this Resolution.</w:t>
      </w:r>
    </w:p>
    <w:sectPr w:rsidR="00067A07">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D32E4"/>
    <w:multiLevelType w:val="multilevel"/>
    <w:tmpl w:val="1674E7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8762745"/>
    <w:multiLevelType w:val="multilevel"/>
    <w:tmpl w:val="59A0C55E"/>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067A07"/>
    <w:rsid w:val="00067A07"/>
    <w:rsid w:val="009E0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535060"/>
      <w:sz w:val="26"/>
      <w:szCs w:val="26"/>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color w:val="53506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535060"/>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EE6576"/>
      <w:w w:val="70"/>
      <w:sz w:val="20"/>
      <w:szCs w:val="20"/>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color w:val="535060"/>
      <w:sz w:val="26"/>
      <w:szCs w:val="26"/>
    </w:rPr>
  </w:style>
  <w:style w:type="paragraph" w:customStyle="1" w:styleId="Vnbnnidung40">
    <w:name w:val="Văn bản nội dung (4)"/>
    <w:basedOn w:val="Normal"/>
    <w:link w:val="Vnbnnidung4"/>
    <w:pPr>
      <w:jc w:val="center"/>
    </w:pPr>
    <w:rPr>
      <w:rFonts w:ascii="Times New Roman" w:eastAsia="Times New Roman" w:hAnsi="Times New Roman" w:cs="Times New Roman"/>
      <w:b/>
      <w:bCs/>
      <w:color w:val="535060"/>
      <w:sz w:val="28"/>
      <w:szCs w:val="28"/>
    </w:rPr>
  </w:style>
  <w:style w:type="paragraph" w:customStyle="1" w:styleId="Vnbnnidung20">
    <w:name w:val="Văn bản nội dung (2)"/>
    <w:basedOn w:val="Normal"/>
    <w:link w:val="Vnbnnidung2"/>
    <w:pPr>
      <w:spacing w:line="254" w:lineRule="auto"/>
      <w:ind w:firstLine="300"/>
    </w:pPr>
    <w:rPr>
      <w:rFonts w:ascii="Times New Roman" w:eastAsia="Times New Roman" w:hAnsi="Times New Roman" w:cs="Times New Roman"/>
      <w:b/>
      <w:bCs/>
      <w:color w:val="535060"/>
    </w:rPr>
  </w:style>
  <w:style w:type="paragraph" w:customStyle="1" w:styleId="Vnbnnidung30">
    <w:name w:val="Văn bản nội dung (3)"/>
    <w:basedOn w:val="Normal"/>
    <w:link w:val="Vnbnnidung3"/>
    <w:pPr>
      <w:ind w:left="2600" w:firstLine="150"/>
    </w:pPr>
    <w:rPr>
      <w:rFonts w:ascii="Arial" w:eastAsia="Arial" w:hAnsi="Arial" w:cs="Arial"/>
      <w:b/>
      <w:bCs/>
      <w:color w:val="EE6576"/>
      <w:w w:val="70"/>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535060"/>
      <w:sz w:val="26"/>
      <w:szCs w:val="26"/>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color w:val="53506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535060"/>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EE6576"/>
      <w:w w:val="70"/>
      <w:sz w:val="20"/>
      <w:szCs w:val="20"/>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color w:val="535060"/>
      <w:sz w:val="26"/>
      <w:szCs w:val="26"/>
    </w:rPr>
  </w:style>
  <w:style w:type="paragraph" w:customStyle="1" w:styleId="Vnbnnidung40">
    <w:name w:val="Văn bản nội dung (4)"/>
    <w:basedOn w:val="Normal"/>
    <w:link w:val="Vnbnnidung4"/>
    <w:pPr>
      <w:jc w:val="center"/>
    </w:pPr>
    <w:rPr>
      <w:rFonts w:ascii="Times New Roman" w:eastAsia="Times New Roman" w:hAnsi="Times New Roman" w:cs="Times New Roman"/>
      <w:b/>
      <w:bCs/>
      <w:color w:val="535060"/>
      <w:sz w:val="28"/>
      <w:szCs w:val="28"/>
    </w:rPr>
  </w:style>
  <w:style w:type="paragraph" w:customStyle="1" w:styleId="Vnbnnidung20">
    <w:name w:val="Văn bản nội dung (2)"/>
    <w:basedOn w:val="Normal"/>
    <w:link w:val="Vnbnnidung2"/>
    <w:pPr>
      <w:spacing w:line="254" w:lineRule="auto"/>
      <w:ind w:firstLine="300"/>
    </w:pPr>
    <w:rPr>
      <w:rFonts w:ascii="Times New Roman" w:eastAsia="Times New Roman" w:hAnsi="Times New Roman" w:cs="Times New Roman"/>
      <w:b/>
      <w:bCs/>
      <w:color w:val="535060"/>
    </w:rPr>
  </w:style>
  <w:style w:type="paragraph" w:customStyle="1" w:styleId="Vnbnnidung30">
    <w:name w:val="Văn bản nội dung (3)"/>
    <w:basedOn w:val="Normal"/>
    <w:link w:val="Vnbnnidung3"/>
    <w:pPr>
      <w:ind w:left="2600" w:firstLine="150"/>
    </w:pPr>
    <w:rPr>
      <w:rFonts w:ascii="Arial" w:eastAsia="Arial" w:hAnsi="Arial" w:cs="Arial"/>
      <w:b/>
      <w:bCs/>
      <w:color w:val="EE6576"/>
      <w:w w:val="70"/>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M5+OHzU66akS0YQ2bomu4VhMLg==">CgMxLjA4AHIhMURINHlGQ1dNVEgwY3RuTnpPSGtyXzNUdExsQXlwaHFQ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1813</Characters>
  <Application>Microsoft Office Word</Application>
  <DocSecurity>0</DocSecurity>
  <Lines>15</Lines>
  <Paragraphs>4</Paragraphs>
  <ScaleCrop>false</ScaleCrop>
  <Company>Hewlett-Packard Company</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2</cp:revision>
  <dcterms:created xsi:type="dcterms:W3CDTF">2024-04-10T06:54:00Z</dcterms:created>
  <dcterms:modified xsi:type="dcterms:W3CDTF">2024-04-11T03:46:00Z</dcterms:modified>
</cp:coreProperties>
</file>