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7C" w:rsidRDefault="00C456DC" w:rsidP="002F3BF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TV1:</w:t>
      </w:r>
      <w:r>
        <w:rPr>
          <w:rFonts w:ascii="Arial" w:hAnsi="Arial"/>
          <w:b/>
          <w:color w:val="010000"/>
          <w:sz w:val="20"/>
        </w:rPr>
        <w:t xml:space="preserve"> Explanation on the change in profit after tax </w:t>
      </w:r>
    </w:p>
    <w:p w:rsidR="009B727C" w:rsidRDefault="00C456DC" w:rsidP="002F3B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9, 2024, Power Engineering Consulting Joint Stock Company 1 announced Official Dispatch No. 3215/TVD1-P4 on the explanation of the change in profit after tax as follows: </w:t>
      </w:r>
    </w:p>
    <w:p w:rsidR="009B727C" w:rsidRDefault="00C456DC" w:rsidP="002F3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2023 (audited) changed by over 10% compared to that of 2022 (audited)</w:t>
      </w:r>
    </w:p>
    <w:p w:rsidR="009B727C" w:rsidRDefault="00C456DC" w:rsidP="002F3B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Consolidated 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23"/>
        <w:gridCol w:w="1839"/>
        <w:gridCol w:w="1823"/>
        <w:gridCol w:w="985"/>
      </w:tblGrid>
      <w:tr w:rsidR="009B727C"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2023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9B727C"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534,673,905,367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646,633,744,557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-111,959,839,190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-17.31%</w:t>
            </w:r>
          </w:p>
        </w:tc>
      </w:tr>
      <w:tr w:rsidR="009B727C"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438,995,252,106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502,240,997,795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-63,245,745,689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-12.59%</w:t>
            </w:r>
          </w:p>
        </w:tc>
      </w:tr>
      <w:tr w:rsidR="009B727C"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 profit before tax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95,678,653,261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144,392,746,762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-48,714,093,501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-33.74%</w:t>
            </w:r>
          </w:p>
        </w:tc>
      </w:tr>
      <w:tr w:rsidR="009B727C" w:rsidTr="00C456DC">
        <w:trPr>
          <w:trHeight w:val="582"/>
        </w:trPr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26,923,042,040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23,657,509,214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3,265,532,826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13.80%</w:t>
            </w:r>
          </w:p>
        </w:tc>
      </w:tr>
      <w:tr w:rsidR="009B727C">
        <w:tc>
          <w:tcPr>
            <w:tcW w:w="25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68,755,611,221</w:t>
            </w:r>
          </w:p>
        </w:tc>
        <w:tc>
          <w:tcPr>
            <w:tcW w:w="18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120,735,237,548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-51,979,626,327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-43.05%</w:t>
            </w:r>
          </w:p>
        </w:tc>
      </w:tr>
    </w:tbl>
    <w:p w:rsidR="009B727C" w:rsidRDefault="00C456DC" w:rsidP="002F3B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reason for the decrease in profit after tax was due to a decrease in total revenue of VND 111,959,839,190 </w:t>
      </w:r>
    </w:p>
    <w:p w:rsidR="009B727C" w:rsidRDefault="00C456DC" w:rsidP="00C456D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center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Holding Company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824"/>
        <w:gridCol w:w="1690"/>
        <w:gridCol w:w="1832"/>
        <w:gridCol w:w="1125"/>
      </w:tblGrid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2023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509,468,675,626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623,576,993,769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-114,108,318,143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-18.30%</w:t>
            </w:r>
          </w:p>
        </w:tc>
      </w:tr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401,793,100,470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477,980,458,225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-76,187,357,755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-15.94%</w:t>
            </w:r>
          </w:p>
        </w:tc>
      </w:tr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 profit before tax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107,675,575,156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145,596,535,544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-37,920,960,388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-26.05%</w:t>
            </w:r>
          </w:p>
        </w:tc>
      </w:tr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26,698,193,996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23,487,240,785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3,210,953,211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13.67%</w:t>
            </w:r>
          </w:p>
        </w:tc>
      </w:tr>
      <w:tr w:rsidR="009B727C"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80,977,381,160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122,109,294,759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-41,131,913,599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-33.68%</w:t>
            </w:r>
          </w:p>
        </w:tc>
      </w:tr>
    </w:tbl>
    <w:p w:rsidR="009B727C" w:rsidRDefault="00C456DC" w:rsidP="002F3B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reason for the decrease in profit after tax was due to a decrease in total revenue of VND 114,108,318,143</w:t>
      </w:r>
    </w:p>
    <w:p w:rsidR="009B727C" w:rsidRDefault="00C456DC" w:rsidP="002F3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2023 (audited) changed over 5% compared to 2023 (before audit)</w:t>
      </w:r>
    </w:p>
    <w:p w:rsidR="009B727C" w:rsidRDefault="00C456DC" w:rsidP="002F3B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Consolidated </w:t>
      </w:r>
    </w:p>
    <w:tbl>
      <w:tblPr>
        <w:tblStyle w:val="a1"/>
        <w:tblW w:w="9017" w:type="dxa"/>
        <w:tblLayout w:type="fixed"/>
        <w:tblLook w:val="0000" w:firstRow="0" w:lastRow="0" w:firstColumn="0" w:lastColumn="0" w:noHBand="0" w:noVBand="0"/>
      </w:tblPr>
      <w:tblGrid>
        <w:gridCol w:w="2671"/>
        <w:gridCol w:w="1836"/>
        <w:gridCol w:w="1690"/>
        <w:gridCol w:w="1839"/>
        <w:gridCol w:w="981"/>
      </w:tblGrid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Financial Statements 2023 -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After audit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The Financial Statements 2023 -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Before Audit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Increase (+)/Decrease (-)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 w:colFirst="1" w:colLast="4"/>
            <w:r>
              <w:rPr>
                <w:rFonts w:ascii="Arial" w:hAnsi="Arial"/>
                <w:color w:val="010000"/>
                <w:sz w:val="20"/>
              </w:rPr>
              <w:lastRenderedPageBreak/>
              <w:t>Total revenue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534,673,905,367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534,673,904,542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438,995,252,106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430,970,666,128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8,024,585,978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1.86%</w:t>
            </w:r>
          </w:p>
        </w:tc>
      </w:tr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95,678,653,261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103,703,238,414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-8,024,585,153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-7.74%</w:t>
            </w:r>
          </w:p>
        </w:tc>
      </w:tr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26,923,042,040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28,065,773,981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-1,142,731,941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-4.07%</w:t>
            </w:r>
          </w:p>
        </w:tc>
      </w:tr>
      <w:tr w:rsidR="009B727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68,755,611,221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75,637,464,433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-6,881,853,212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-9.10%</w:t>
            </w:r>
          </w:p>
        </w:tc>
      </w:tr>
    </w:tbl>
    <w:bookmarkEnd w:id="0"/>
    <w:p w:rsidR="009B727C" w:rsidRDefault="00C456DC" w:rsidP="002F3BF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reason for the decrease in profit after tax was due to an increase in total expenses of VND 8,024,585,978</w:t>
      </w:r>
    </w:p>
    <w:p w:rsidR="009B727C" w:rsidRDefault="00C456DC" w:rsidP="002F3B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Holding Company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1824"/>
        <w:gridCol w:w="1834"/>
        <w:gridCol w:w="1766"/>
        <w:gridCol w:w="889"/>
      </w:tblGrid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Financial Statements 2023 - After audit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Financial Statements 2023 - Before Audit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(+)/Decrease (-)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509,468,675,626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509,470,811,952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-2,136,326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401,793,100,470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414,477,027,827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-12,683,927,357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-3.16%</w:t>
            </w:r>
          </w:p>
        </w:tc>
      </w:tr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107,675,575,156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94,993,784,125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12,681,791,031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11.78%</w:t>
            </w:r>
          </w:p>
        </w:tc>
      </w:tr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26,698,193,996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27,840,391,855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-1,142,197,859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-4.28%</w:t>
            </w:r>
          </w:p>
        </w:tc>
      </w:tr>
      <w:tr w:rsidR="009B727C">
        <w:tc>
          <w:tcPr>
            <w:tcW w:w="2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80,977,381,160</w:t>
            </w:r>
          </w:p>
          <w:p w:rsidR="009B727C" w:rsidRDefault="009B727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8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67,153,392,270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13,823,988,890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727C" w:rsidRDefault="00C456DC" w:rsidP="00C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17.07%</w:t>
            </w:r>
          </w:p>
        </w:tc>
      </w:tr>
    </w:tbl>
    <w:p w:rsidR="009B727C" w:rsidRDefault="00C456DC" w:rsidP="002F3B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reason for the increase in profit after tax was due to a decrease in total expenses of VND 12,683,927,357.</w:t>
      </w:r>
    </w:p>
    <w:p w:rsidR="009B727C" w:rsidRDefault="009B727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B727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052"/>
    <w:multiLevelType w:val="multilevel"/>
    <w:tmpl w:val="D82CB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8346FCE"/>
    <w:multiLevelType w:val="multilevel"/>
    <w:tmpl w:val="0A6C1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179"/>
    <w:multiLevelType w:val="multilevel"/>
    <w:tmpl w:val="E4727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7A6"/>
    <w:multiLevelType w:val="multilevel"/>
    <w:tmpl w:val="CB6EA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0A71"/>
    <w:multiLevelType w:val="multilevel"/>
    <w:tmpl w:val="662C4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727C"/>
    <w:rsid w:val="002F3BF9"/>
    <w:rsid w:val="009B727C"/>
    <w:rsid w:val="00C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A2F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A2F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D7213C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51" w:lineRule="auto"/>
      <w:ind w:left="18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22A2F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i/>
      <w:iCs/>
      <w:color w:val="222A2F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b/>
      <w:bCs/>
      <w:color w:val="D7213C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A2F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A2F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D7213C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51" w:lineRule="auto"/>
      <w:ind w:left="18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22A2F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i/>
      <w:iCs/>
      <w:color w:val="222A2F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b/>
      <w:bCs/>
      <w:color w:val="D7213C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Mj/GGtiXIVw7HRNw0HBD4uvf3Q==">CgMxLjA4AHIhMW4xYXFJLXlUX2gyX0dSVW9NVGxTYUg4YTdWem4xSWdB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2024-04-10T04:24:00Z</dcterms:created>
  <dcterms:modified xsi:type="dcterms:W3CDTF">2024-04-11T03:51:00Z</dcterms:modified>
</cp:coreProperties>
</file>