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4E" w:rsidRDefault="00D137A0" w:rsidP="00D137A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5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bCs/>
          <w:color w:val="010000"/>
          <w:sz w:val="20"/>
        </w:rPr>
        <w:t>VC9:</w:t>
      </w:r>
      <w:r>
        <w:rPr>
          <w:rFonts w:ascii="Arial" w:hAnsi="Arial"/>
          <w:b/>
          <w:color w:val="010000"/>
          <w:sz w:val="20"/>
        </w:rPr>
        <w:t xml:space="preserve"> Board Resolution</w:t>
      </w:r>
    </w:p>
    <w:p w:rsidR="00AF754E" w:rsidRDefault="00D137A0" w:rsidP="00D137A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sz w:val="20"/>
        </w:rPr>
        <w:t>On April 8, 2024, VC9 – No 9 Construction Join Stock Company announced Resolution No. 02/2024/NQ/VC9-HDQT on approving the policy of carrying out transactions with related persons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in 2024 as follows:</w:t>
      </w:r>
    </w:p>
    <w:p w:rsidR="00AF754E" w:rsidRDefault="00D137A0" w:rsidP="00D137A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color w:val="010000"/>
          <w:sz w:val="20"/>
        </w:rPr>
        <w:t xml:space="preserve">‎‎Article 1. </w:t>
      </w:r>
      <w:r>
        <w:rPr>
          <w:rFonts w:ascii="Arial" w:hAnsi="Arial"/>
          <w:color w:val="010000"/>
          <w:sz w:val="20"/>
        </w:rPr>
        <w:t>Approve the policy of implementing Contracts/Transactions between the Company and related persons</w:t>
      </w:r>
      <w:r>
        <w:rPr>
          <w:rFonts w:ascii="Arial" w:hAnsi="Arial"/>
          <w:color w:val="010000"/>
          <w:sz w:val="20"/>
        </w:rPr>
        <w:t xml:space="preserve"> as follows:</w:t>
      </w:r>
    </w:p>
    <w:p w:rsidR="00AF754E" w:rsidRDefault="00D137A0" w:rsidP="00D137A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Company's policy on signing and implementing Contracts/Transactions between the Company and the Company’s related persons</w:t>
      </w:r>
      <w:r>
        <w:rPr>
          <w:rFonts w:ascii="Arial" w:hAnsi="Arial"/>
          <w:color w:val="010000"/>
          <w:sz w:val="20"/>
        </w:rPr>
        <w:t>, the Company and major shareholders, PDMR and PDMR’s related persons</w:t>
      </w:r>
      <w:r>
        <w:rPr>
          <w:rFonts w:ascii="Arial" w:hAnsi="Arial"/>
          <w:color w:val="010000"/>
          <w:sz w:val="20"/>
        </w:rPr>
        <w:t xml:space="preserve"> as prescribed in the Charter, Law on Securities</w:t>
      </w:r>
      <w:r>
        <w:rPr>
          <w:rFonts w:ascii="Arial" w:hAnsi="Arial"/>
          <w:color w:val="010000"/>
          <w:sz w:val="20"/>
        </w:rPr>
        <w:t>, Law on Enterprises expected to arise in 2024 according to the limit frame as follows: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4326"/>
        <w:gridCol w:w="3978"/>
      </w:tblGrid>
      <w:tr w:rsidR="00AF754E">
        <w:tc>
          <w:tcPr>
            <w:tcW w:w="7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43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types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Limit frame</w:t>
            </w:r>
          </w:p>
        </w:tc>
      </w:tr>
      <w:tr w:rsidR="00AF754E">
        <w:tc>
          <w:tcPr>
            <w:tcW w:w="7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43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Capital contribution/share purchase, capital transfer/share transfer/project transfer/asset purchase and sale (including Deposit Contracts/Agreements for the above transactions).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Less than 35% of the Company's total asset value recorded in the most recent </w:t>
            </w:r>
            <w:r>
              <w:rPr>
                <w:rFonts w:ascii="Arial" w:hAnsi="Arial"/>
                <w:color w:val="010000"/>
                <w:sz w:val="20"/>
              </w:rPr>
              <w:t>Audited Financial Statements.</w:t>
            </w:r>
          </w:p>
        </w:tc>
      </w:tr>
      <w:tr w:rsidR="00AF754E">
        <w:tc>
          <w:tcPr>
            <w:tcW w:w="7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43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Business Cooperation Contracts, Joint Venture Contracts (including Deposit Contracts/Agreements for the above transactions).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Less than 35% of the Company's total asset value recorded in the most recent Audited Financial Sta</w:t>
            </w:r>
            <w:r>
              <w:rPr>
                <w:rFonts w:ascii="Arial" w:hAnsi="Arial"/>
                <w:color w:val="010000"/>
                <w:sz w:val="20"/>
              </w:rPr>
              <w:t>tements.</w:t>
            </w:r>
          </w:p>
        </w:tc>
      </w:tr>
      <w:tr w:rsidR="00AF754E">
        <w:tc>
          <w:tcPr>
            <w:tcW w:w="7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43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Contracts/Transactions on buying, selling, borrowing, lending; Contracts/Transactions on guarantees, warranties, pledges, mortgages and other contracts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Less than 35% of the Company's total asset value recorded in the most recent Audited Financi</w:t>
            </w:r>
            <w:r>
              <w:rPr>
                <w:rFonts w:ascii="Arial" w:hAnsi="Arial"/>
                <w:color w:val="010000"/>
                <w:sz w:val="20"/>
              </w:rPr>
              <w:t>al Statements.</w:t>
            </w:r>
          </w:p>
        </w:tc>
      </w:tr>
      <w:tr w:rsidR="00AF754E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Contracts/Transactions for borrowing and selling assets signed with shareholders owning 51% or more of the total voting shares or their related persons</w:t>
            </w:r>
            <w:r>
              <w:rPr>
                <w:rFonts w:ascii="Arial" w:hAnsi="Arial"/>
                <w:color w:val="010000"/>
                <w:sz w:val="20"/>
              </w:rPr>
              <w:t xml:space="preserve"> (if any/arising in each period)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Less than 10% of the Company's total asset value recorded in the most recent Audited Financial Statements.</w:t>
            </w:r>
          </w:p>
        </w:tc>
      </w:tr>
      <w:tr w:rsidR="00AF754E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Contracts/Transactions for serving the Company's daily and regular production and business activities (if any/arising in each period)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Less than 5%</w:t>
            </w:r>
            <w:r>
              <w:rPr>
                <w:rFonts w:ascii="Arial" w:hAnsi="Arial"/>
                <w:color w:val="010000"/>
                <w:sz w:val="20"/>
              </w:rPr>
              <w:t xml:space="preserve"> of the Company's total asset value recorded in the most recent Audited Financial Statements.</w:t>
            </w:r>
          </w:p>
        </w:tc>
      </w:tr>
    </w:tbl>
    <w:p w:rsidR="00AF754E" w:rsidRDefault="00D137A0" w:rsidP="00D137A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2. Organization and Implementation</w:t>
      </w:r>
    </w:p>
    <w:p w:rsidR="00AF754E" w:rsidRDefault="00D137A0" w:rsidP="00D137A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Assign and authorize the Company's legal representative, based on the actual situation and business needs of the Company, to negotiate, decide the content, sign, implement, and amend each Contract/Transaction and/or the Legal Representative can authorize t</w:t>
      </w:r>
      <w:r>
        <w:rPr>
          <w:rFonts w:ascii="Arial" w:hAnsi="Arial"/>
          <w:color w:val="010000"/>
          <w:sz w:val="20"/>
        </w:rPr>
        <w:t>he Executive Board</w:t>
      </w:r>
      <w:r>
        <w:rPr>
          <w:rFonts w:ascii="Arial" w:hAnsi="Arial"/>
          <w:color w:val="010000"/>
          <w:sz w:val="20"/>
        </w:rPr>
        <w:t xml:space="preserve"> to decide, sign, implement, adjust, amend, supplement conditions and terms and sign the Contract/Transactions </w:t>
      </w:r>
      <w:r>
        <w:rPr>
          <w:rFonts w:ascii="Arial" w:hAnsi="Arial"/>
          <w:color w:val="010000"/>
          <w:sz w:val="20"/>
        </w:rPr>
        <w:lastRenderedPageBreak/>
        <w:t>with related parties (including cancellation, termination, liquidation, etc.) in accordance with the limit frame approved b</w:t>
      </w:r>
      <w:r>
        <w:rPr>
          <w:rFonts w:ascii="Arial" w:hAnsi="Arial"/>
          <w:color w:val="010000"/>
          <w:sz w:val="20"/>
        </w:rPr>
        <w:t>y the Board of Directors above, and the provisions of law, on the principle of equality, voluntariness, ensuring the interests of the Company and its shareholders; the transaction’s terms are not more disadvantageous than similar terms proposed by other in</w:t>
      </w:r>
      <w:r>
        <w:rPr>
          <w:rFonts w:ascii="Arial" w:hAnsi="Arial"/>
          <w:color w:val="010000"/>
          <w:sz w:val="20"/>
        </w:rPr>
        <w:t>dependent partners.</w:t>
      </w:r>
    </w:p>
    <w:p w:rsidR="00AF754E" w:rsidRDefault="00D137A0" w:rsidP="00D137A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3. Terms of enforcement</w:t>
      </w:r>
    </w:p>
    <w:p w:rsidR="00AF754E" w:rsidRDefault="00D137A0" w:rsidP="00D137A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This Board Resolution takes effect for transactions between the Company and related persons</w:t>
      </w:r>
      <w:r>
        <w:rPr>
          <w:rFonts w:ascii="Arial" w:hAnsi="Arial"/>
          <w:color w:val="010000"/>
          <w:sz w:val="20"/>
        </w:rPr>
        <w:t xml:space="preserve"> within the limit approved arising in 2024.</w:t>
      </w:r>
    </w:p>
    <w:p w:rsidR="00AF754E" w:rsidRDefault="00D137A0" w:rsidP="00D137A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Members of the Board of Directors and Executive Board </w:t>
      </w:r>
      <w:r>
        <w:rPr>
          <w:rFonts w:ascii="Arial" w:hAnsi="Arial"/>
          <w:color w:val="010000"/>
          <w:sz w:val="20"/>
        </w:rPr>
        <w:t>and H</w:t>
      </w:r>
      <w:r>
        <w:rPr>
          <w:rFonts w:ascii="Arial" w:hAnsi="Arial"/>
          <w:color w:val="010000"/>
          <w:sz w:val="20"/>
        </w:rPr>
        <w:t xml:space="preserve">ead of related departments are responsible for the implementation of this Resolution. </w:t>
      </w:r>
    </w:p>
    <w:p w:rsidR="00AF754E" w:rsidRDefault="00D137A0" w:rsidP="00D137A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List of related persons</w:t>
      </w:r>
      <w:r>
        <w:rPr>
          <w:rFonts w:ascii="Arial" w:hAnsi="Arial"/>
          <w:color w:val="010000"/>
          <w:sz w:val="20"/>
        </w:rPr>
        <w:t xml:space="preserve"> having transactions with the Company in 2024 (expected)</w:t>
      </w:r>
    </w:p>
    <w:tbl>
      <w:tblPr>
        <w:tblStyle w:val="a0"/>
        <w:tblW w:w="901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8209"/>
      </w:tblGrid>
      <w:tr w:rsidR="00AF754E">
        <w:trPr>
          <w:jc w:val="right"/>
        </w:trPr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82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Subjects</w:t>
            </w:r>
          </w:p>
        </w:tc>
      </w:tr>
      <w:tr w:rsidR="00AF754E">
        <w:trPr>
          <w:jc w:val="right"/>
        </w:trPr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</w:t>
            </w:r>
          </w:p>
        </w:tc>
        <w:tc>
          <w:tcPr>
            <w:tcW w:w="82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PDMR and</w:t>
            </w:r>
            <w:r>
              <w:rPr>
                <w:rFonts w:ascii="Arial" w:hAnsi="Arial"/>
                <w:color w:val="010000"/>
                <w:sz w:val="20"/>
              </w:rPr>
              <w:t xml:space="preserve"> principal</w:t>
            </w:r>
            <w:r>
              <w:rPr>
                <w:rFonts w:ascii="Arial" w:hAnsi="Arial"/>
                <w:color w:val="010000"/>
                <w:sz w:val="20"/>
              </w:rPr>
              <w:t xml:space="preserve"> shareholders</w:t>
            </w:r>
          </w:p>
        </w:tc>
      </w:tr>
      <w:tr w:rsidR="00AF754E">
        <w:trPr>
          <w:jc w:val="right"/>
        </w:trPr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82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Thach Tan</w:t>
            </w:r>
          </w:p>
        </w:tc>
      </w:tr>
      <w:tr w:rsidR="00AF754E">
        <w:trPr>
          <w:jc w:val="right"/>
        </w:trPr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82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Huong Giang</w:t>
            </w:r>
          </w:p>
        </w:tc>
      </w:tr>
      <w:tr w:rsidR="00AF754E">
        <w:trPr>
          <w:jc w:val="right"/>
        </w:trPr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82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Dai Thu</w:t>
            </w:r>
          </w:p>
        </w:tc>
      </w:tr>
      <w:tr w:rsidR="00AF754E">
        <w:trPr>
          <w:jc w:val="right"/>
        </w:trPr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82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Ha</w:t>
            </w:r>
          </w:p>
        </w:tc>
      </w:tr>
      <w:tr w:rsidR="00AF754E">
        <w:trPr>
          <w:jc w:val="right"/>
        </w:trPr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82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AF754E">
        <w:trPr>
          <w:jc w:val="right"/>
        </w:trPr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82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Ngoc Anh</w:t>
            </w:r>
          </w:p>
        </w:tc>
      </w:tr>
      <w:tr w:rsidR="00AF754E">
        <w:trPr>
          <w:jc w:val="right"/>
        </w:trPr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82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Vu Duc Cuong </w:t>
            </w:r>
          </w:p>
        </w:tc>
      </w:tr>
      <w:tr w:rsidR="00AF754E">
        <w:trPr>
          <w:jc w:val="right"/>
        </w:trPr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82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Lai Thi Lan</w:t>
            </w:r>
          </w:p>
        </w:tc>
      </w:tr>
      <w:tr w:rsidR="00AF754E">
        <w:trPr>
          <w:jc w:val="right"/>
        </w:trPr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82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Bui Tien Luan</w:t>
            </w:r>
          </w:p>
        </w:tc>
      </w:tr>
      <w:tr w:rsidR="00AF754E">
        <w:trPr>
          <w:jc w:val="right"/>
        </w:trPr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82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Hieu</w:t>
            </w:r>
          </w:p>
        </w:tc>
      </w:tr>
      <w:tr w:rsidR="00AF754E">
        <w:trPr>
          <w:jc w:val="right"/>
        </w:trPr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82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031"/>
                <w:tab w:val="left" w:pos="18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Thi Duc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Vinh</w:t>
            </w:r>
            <w:proofErr w:type="spellEnd"/>
          </w:p>
        </w:tc>
      </w:tr>
      <w:tr w:rsidR="00AF754E">
        <w:trPr>
          <w:jc w:val="right"/>
        </w:trPr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82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Nhu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Quyen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AF754E">
        <w:trPr>
          <w:jc w:val="right"/>
        </w:trPr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</w:t>
            </w:r>
          </w:p>
        </w:tc>
        <w:tc>
          <w:tcPr>
            <w:tcW w:w="82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>
              <w:rPr>
                <w:rFonts w:ascii="Arial" w:hAnsi="Arial"/>
                <w:color w:val="010000"/>
                <w:sz w:val="20"/>
              </w:rPr>
              <w:t xml:space="preserve"> persons</w:t>
            </w:r>
            <w:r>
              <w:rPr>
                <w:rFonts w:ascii="Arial" w:hAnsi="Arial"/>
                <w:color w:val="010000"/>
                <w:sz w:val="20"/>
              </w:rPr>
              <w:t xml:space="preserve"> of PDMR</w:t>
            </w:r>
          </w:p>
        </w:tc>
      </w:tr>
      <w:tr w:rsidR="00AF754E">
        <w:trPr>
          <w:jc w:val="right"/>
        </w:trPr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82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TNG Investment and Construction Joint Stock Company</w:t>
            </w:r>
          </w:p>
        </w:tc>
      </w:tr>
      <w:tr w:rsidR="00AF754E">
        <w:trPr>
          <w:jc w:val="right"/>
        </w:trPr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82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Thang Long Joint Stock Corporation</w:t>
            </w:r>
          </w:p>
        </w:tc>
      </w:tr>
      <w:tr w:rsidR="00AF754E">
        <w:trPr>
          <w:jc w:val="right"/>
        </w:trPr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III</w:t>
            </w:r>
          </w:p>
        </w:tc>
        <w:tc>
          <w:tcPr>
            <w:tcW w:w="82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754E" w:rsidRDefault="00D137A0" w:rsidP="00D1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related persons</w:t>
            </w: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bookmarkStart w:id="1" w:name="_GoBack"/>
            <w:bookmarkEnd w:id="1"/>
            <w:r>
              <w:rPr>
                <w:rFonts w:ascii="Arial" w:hAnsi="Arial"/>
                <w:color w:val="010000"/>
                <w:sz w:val="20"/>
              </w:rPr>
              <w:t>in each period</w:t>
            </w:r>
          </w:p>
        </w:tc>
      </w:tr>
    </w:tbl>
    <w:p w:rsidR="00AF754E" w:rsidRDefault="00AF754E" w:rsidP="00D137A0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AF754E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4E"/>
    <w:rsid w:val="00AF754E"/>
    <w:rsid w:val="00D1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567F"/>
  <w15:docId w15:val="{7A0EEF53-6CBB-48ED-BCA6-8E62209E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20" w:line="25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b/>
      <w:bCs/>
      <w:sz w:val="9"/>
      <w:szCs w:val="9"/>
    </w:rPr>
  </w:style>
  <w:style w:type="paragraph" w:customStyle="1" w:styleId="Bodytext40">
    <w:name w:val="Body text (4)"/>
    <w:basedOn w:val="Normal"/>
    <w:link w:val="Bodytext4"/>
    <w:pPr>
      <w:spacing w:after="1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50">
    <w:name w:val="Body text (5)"/>
    <w:basedOn w:val="Normal"/>
    <w:link w:val="Bodytext5"/>
    <w:pPr>
      <w:spacing w:after="240" w:line="221" w:lineRule="auto"/>
      <w:jc w:val="right"/>
    </w:pPr>
    <w:rPr>
      <w:rFonts w:ascii="Arial" w:eastAsia="Arial" w:hAnsi="Arial" w:cs="Arial"/>
      <w:smallCaps/>
      <w:sz w:val="20"/>
      <w:szCs w:val="2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sz w:val="16"/>
      <w:szCs w:val="16"/>
    </w:rPr>
  </w:style>
  <w:style w:type="paragraph" w:customStyle="1" w:styleId="Heading11">
    <w:name w:val="Heading #1"/>
    <w:basedOn w:val="Normal"/>
    <w:link w:val="Heading10"/>
    <w:pPr>
      <w:spacing w:after="20" w:line="214" w:lineRule="auto"/>
      <w:ind w:firstLine="100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Heading21">
    <w:name w:val="Heading #2"/>
    <w:basedOn w:val="Normal"/>
    <w:link w:val="Heading20"/>
    <w:pPr>
      <w:spacing w:after="220" w:line="288" w:lineRule="auto"/>
      <w:ind w:left="204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ther0">
    <w:name w:val="Other"/>
    <w:basedOn w:val="Normal"/>
    <w:link w:val="Other"/>
    <w:pPr>
      <w:spacing w:after="120" w:line="25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QBpwMvMXKlcIL/9qa30+4TQDdQ==">CgMxLjAyCGguZ2pkZ3hzOAByITFVNkF0MWVfMnMzRi1ubDd1VnY3N2RUU05pdUtVRnNZZQ==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2024-04-11T03:49:00Z</dcterms:created>
  <dcterms:modified xsi:type="dcterms:W3CDTF">2024-04-11T03:49:00Z</dcterms:modified>
</cp:coreProperties>
</file>