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F6C9A" w:rsidRPr="00DB5795" w:rsidRDefault="007A5985" w:rsidP="00010FE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B5795">
        <w:rPr>
          <w:rFonts w:ascii="Arial" w:hAnsi="Arial" w:cs="Arial"/>
          <w:b/>
          <w:color w:val="010000"/>
          <w:sz w:val="20"/>
        </w:rPr>
        <w:t>CAR: Board Resolution</w:t>
      </w:r>
    </w:p>
    <w:p w14:paraId="00000002" w14:textId="77777777" w:rsidR="004F6C9A" w:rsidRPr="00DB5795" w:rsidRDefault="007A5985" w:rsidP="00010FE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On April 9, 2024, Tri Viet Education Group Joint Stock Company announced Resolution No. 094/2024/NQ – HDQT on approving the results of the public offering of shares to existing shareholders as follows:</w:t>
      </w:r>
    </w:p>
    <w:p w14:paraId="00000003" w14:textId="77777777" w:rsidR="004F6C9A" w:rsidRPr="00DB5795" w:rsidRDefault="007A5985" w:rsidP="00010FE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Article 1: Approve the results of the additional public offering to existing shareholders as follows:</w:t>
      </w:r>
    </w:p>
    <w:p w14:paraId="00000004" w14:textId="77777777" w:rsidR="004F6C9A" w:rsidRPr="00DB5795" w:rsidRDefault="007A5985" w:rsidP="00010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Share name: Shares of Tri Viet Education Group Joint Stock Company.</w:t>
      </w:r>
    </w:p>
    <w:p w14:paraId="00000005" w14:textId="77777777" w:rsidR="004F6C9A" w:rsidRPr="00DB5795" w:rsidRDefault="007A5985" w:rsidP="00010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Share type: Common share</w:t>
      </w:r>
    </w:p>
    <w:p w14:paraId="00000006" w14:textId="77777777" w:rsidR="004F6C9A" w:rsidRPr="00DB5795" w:rsidRDefault="007A5985" w:rsidP="00010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Number of offered shares: 3,200,000 shares.</w:t>
      </w:r>
    </w:p>
    <w:p w14:paraId="00000007" w14:textId="77777777" w:rsidR="004F6C9A" w:rsidRPr="00DB5795" w:rsidRDefault="007A5985" w:rsidP="00010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Offering price: VND 10,000/share.</w:t>
      </w:r>
    </w:p>
    <w:p w14:paraId="00000008" w14:textId="77777777" w:rsidR="004F6C9A" w:rsidRPr="00DB5795" w:rsidRDefault="007A5985" w:rsidP="00010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Time to receive purchase registration and payment:</w:t>
      </w:r>
    </w:p>
    <w:p w14:paraId="00000009" w14:textId="28435983" w:rsidR="004F6C9A" w:rsidRPr="00DB5795" w:rsidRDefault="007A5985" w:rsidP="00010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Time to register and pay to buy additional shares issued to existing shareholders who exercise their right</w:t>
      </w:r>
      <w:r w:rsidR="00AB6E6B">
        <w:rPr>
          <w:rFonts w:ascii="Arial" w:hAnsi="Arial" w:cs="Arial"/>
          <w:color w:val="010000"/>
          <w:sz w:val="20"/>
        </w:rPr>
        <w:t>s</w:t>
      </w:r>
      <w:r w:rsidRPr="00DB5795">
        <w:rPr>
          <w:rFonts w:ascii="Arial" w:hAnsi="Arial" w:cs="Arial"/>
          <w:color w:val="010000"/>
          <w:sz w:val="20"/>
        </w:rPr>
        <w:t xml:space="preserve"> to buy: From January 10, 2024</w:t>
      </w:r>
      <w:r w:rsidR="00FA11DA">
        <w:rPr>
          <w:rFonts w:ascii="Arial" w:hAnsi="Arial" w:cs="Arial"/>
          <w:color w:val="010000"/>
          <w:sz w:val="20"/>
        </w:rPr>
        <w:t>,</w:t>
      </w:r>
      <w:r w:rsidRPr="00DB5795">
        <w:rPr>
          <w:rFonts w:ascii="Arial" w:hAnsi="Arial" w:cs="Arial"/>
          <w:color w:val="010000"/>
          <w:sz w:val="20"/>
        </w:rPr>
        <w:t xml:space="preserve"> to March 18, 2024</w:t>
      </w:r>
    </w:p>
    <w:p w14:paraId="0000000A" w14:textId="695FB144" w:rsidR="004F6C9A" w:rsidRPr="00DB5795" w:rsidRDefault="007A5985" w:rsidP="00010F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Time to pay to buy shares of existing shareholders who did not exercise the right</w:t>
      </w:r>
      <w:r w:rsidR="00AB6E6B">
        <w:rPr>
          <w:rFonts w:ascii="Arial" w:hAnsi="Arial" w:cs="Arial"/>
          <w:color w:val="010000"/>
          <w:sz w:val="20"/>
        </w:rPr>
        <w:t>s</w:t>
      </w:r>
      <w:r w:rsidRPr="00DB5795">
        <w:rPr>
          <w:rFonts w:ascii="Arial" w:hAnsi="Arial" w:cs="Arial"/>
          <w:color w:val="010000"/>
          <w:sz w:val="20"/>
        </w:rPr>
        <w:t xml:space="preserve"> to buy: from March 29, 2024</w:t>
      </w:r>
      <w:r w:rsidR="00AB6E6B">
        <w:rPr>
          <w:rFonts w:ascii="Arial" w:hAnsi="Arial" w:cs="Arial"/>
          <w:color w:val="010000"/>
          <w:sz w:val="20"/>
        </w:rPr>
        <w:t>,</w:t>
      </w:r>
      <w:r w:rsidRPr="00DB5795">
        <w:rPr>
          <w:rFonts w:ascii="Arial" w:hAnsi="Arial" w:cs="Arial"/>
          <w:color w:val="010000"/>
          <w:sz w:val="20"/>
        </w:rPr>
        <w:t xml:space="preserve"> to April 02, 2024.</w:t>
      </w:r>
    </w:p>
    <w:p w14:paraId="0000000B" w14:textId="77777777" w:rsidR="004F6C9A" w:rsidRPr="00DB5795" w:rsidRDefault="007A5985" w:rsidP="00010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Results of registration and payment to buy additional shares offered to existing shareholders:</w:t>
      </w:r>
    </w:p>
    <w:p w14:paraId="0000000C" w14:textId="001106ED" w:rsidR="004F6C9A" w:rsidRPr="00DB5795" w:rsidRDefault="007A5985" w:rsidP="00010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Number of shares that existing shareholders have registered and paid to exercise the right</w:t>
      </w:r>
      <w:r w:rsidR="00FA11DA">
        <w:rPr>
          <w:rFonts w:ascii="Arial" w:hAnsi="Arial" w:cs="Arial"/>
          <w:color w:val="010000"/>
          <w:sz w:val="20"/>
        </w:rPr>
        <w:t>s</w:t>
      </w:r>
      <w:r w:rsidRPr="00DB5795">
        <w:rPr>
          <w:rFonts w:ascii="Arial" w:hAnsi="Arial" w:cs="Arial"/>
          <w:color w:val="010000"/>
          <w:sz w:val="20"/>
        </w:rPr>
        <w:t xml:space="preserve"> to buy: 1,219,098 shares for 23 shareholders;</w:t>
      </w:r>
    </w:p>
    <w:p w14:paraId="0000000D" w14:textId="3ACDBEE6" w:rsidR="004F6C9A" w:rsidRPr="00DB5795" w:rsidRDefault="007A5985" w:rsidP="00010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Number of shares from handling shares that existing shareholders have not registered to buy or paid for 0 shares.</w:t>
      </w:r>
    </w:p>
    <w:p w14:paraId="0000000E" w14:textId="77777777" w:rsidR="004F6C9A" w:rsidRPr="00DB5795" w:rsidRDefault="007A5985" w:rsidP="00010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Number of undistributed shares: 1,980,902 shares; these will be canceled after the expiration of the extension period of the offering (until April 3, 2024) based on the Extraordinary General Mandate No. 258/2023/NQ-DHDCD dated August 25, 2023.</w:t>
      </w:r>
    </w:p>
    <w:p w14:paraId="0000000F" w14:textId="77777777" w:rsidR="004F6C9A" w:rsidRPr="00DB5795" w:rsidRDefault="007A5985" w:rsidP="00010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Total number of issued shares 1,219,098 shares (equivalent to 38.1% of the total number of shares registered for offering).</w:t>
      </w:r>
    </w:p>
    <w:p w14:paraId="00000010" w14:textId="77777777" w:rsidR="004F6C9A" w:rsidRPr="00DB5795" w:rsidRDefault="007A5985" w:rsidP="00010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Net proceeds from the offering: VND 12,011,930,000.</w:t>
      </w:r>
    </w:p>
    <w:p w14:paraId="00000011" w14:textId="77777777" w:rsidR="004F6C9A" w:rsidRPr="00DB5795" w:rsidRDefault="007A5985" w:rsidP="00010F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Total proceeds from the offering: VND 12,190,980,000;</w:t>
      </w:r>
    </w:p>
    <w:p w14:paraId="00000012" w14:textId="77777777" w:rsidR="004F6C9A" w:rsidRPr="00DB5795" w:rsidRDefault="007A5985" w:rsidP="00010F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Total expense of the offering: VND 179,050,000.</w:t>
      </w:r>
    </w:p>
    <w:p w14:paraId="00000013" w14:textId="51842BD7" w:rsidR="004F6C9A" w:rsidRPr="00DB5795" w:rsidRDefault="007A5985" w:rsidP="00010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 xml:space="preserve">The end date of the offering: </w:t>
      </w:r>
      <w:r w:rsidR="00010FE5">
        <w:rPr>
          <w:rFonts w:ascii="Arial" w:hAnsi="Arial" w:cs="Arial"/>
          <w:color w:val="010000"/>
          <w:sz w:val="20"/>
        </w:rPr>
        <w:t xml:space="preserve">is </w:t>
      </w:r>
      <w:r w:rsidRPr="00DB5795">
        <w:rPr>
          <w:rFonts w:ascii="Arial" w:hAnsi="Arial" w:cs="Arial"/>
          <w:color w:val="010000"/>
          <w:sz w:val="20"/>
        </w:rPr>
        <w:t>April 03, 2024.</w:t>
      </w:r>
    </w:p>
    <w:p w14:paraId="00000014" w14:textId="02214989" w:rsidR="004F6C9A" w:rsidRPr="00DB5795" w:rsidRDefault="007A5985" w:rsidP="00010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Expected date of share transfer: May 3, 2024</w:t>
      </w:r>
      <w:r w:rsidR="00FA11DA">
        <w:rPr>
          <w:rFonts w:ascii="Arial" w:hAnsi="Arial" w:cs="Arial"/>
          <w:color w:val="010000"/>
          <w:sz w:val="20"/>
        </w:rPr>
        <w:t>,</w:t>
      </w:r>
      <w:r w:rsidRPr="00DB5795">
        <w:rPr>
          <w:rFonts w:ascii="Arial" w:hAnsi="Arial" w:cs="Arial"/>
          <w:color w:val="010000"/>
          <w:sz w:val="20"/>
        </w:rPr>
        <w:t xml:space="preserve"> after Tri Viet Education Group Joint Stock Company completed additional depository of additional issued shares at Vietnam Securities Depository and Clearing Corporation and registered for trading of additional issued </w:t>
      </w:r>
      <w:r w:rsidR="00DB5795" w:rsidRPr="00DB5795">
        <w:rPr>
          <w:rFonts w:ascii="Arial" w:hAnsi="Arial" w:cs="Arial"/>
          <w:color w:val="010000"/>
          <w:sz w:val="20"/>
        </w:rPr>
        <w:t>shares</w:t>
      </w:r>
      <w:r w:rsidRPr="00DB5795">
        <w:rPr>
          <w:rFonts w:ascii="Arial" w:hAnsi="Arial" w:cs="Arial"/>
          <w:color w:val="010000"/>
          <w:sz w:val="20"/>
        </w:rPr>
        <w:t xml:space="preserve"> at Hanoi Stock Exchange.</w:t>
      </w:r>
    </w:p>
    <w:p w14:paraId="00000015" w14:textId="77777777" w:rsidR="004F6C9A" w:rsidRPr="00DB5795" w:rsidRDefault="007A5985" w:rsidP="00010F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Total number of shares after the offering (at the end date of the offering on April 3, 2024); 5,059,098 shares, of which:</w:t>
      </w:r>
    </w:p>
    <w:p w14:paraId="00000016" w14:textId="77777777" w:rsidR="004F6C9A" w:rsidRPr="00DB5795" w:rsidRDefault="007A5985" w:rsidP="00010F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lastRenderedPageBreak/>
        <w:t>Number of outstanding shares: 5,059,098 shares</w:t>
      </w:r>
    </w:p>
    <w:p w14:paraId="00000017" w14:textId="77777777" w:rsidR="004F6C9A" w:rsidRPr="00DB5795" w:rsidRDefault="007A5985" w:rsidP="00010F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Number of treasury shares: 0 shares</w:t>
      </w:r>
    </w:p>
    <w:p w14:paraId="00000018" w14:textId="64B2D332" w:rsidR="004F6C9A" w:rsidRPr="00DB5795" w:rsidRDefault="007A5985" w:rsidP="00010FE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 xml:space="preserve">Article 2: Approve assigning the Chair of the Board of Directors to decide on the contents, edit and supplement documents as required, </w:t>
      </w:r>
      <w:r w:rsidR="0033180C">
        <w:rPr>
          <w:rFonts w:ascii="Arial" w:hAnsi="Arial" w:cs="Arial"/>
          <w:color w:val="010000"/>
          <w:sz w:val="20"/>
        </w:rPr>
        <w:t xml:space="preserve">and </w:t>
      </w:r>
      <w:r w:rsidRPr="00DB5795">
        <w:rPr>
          <w:rFonts w:ascii="Arial" w:hAnsi="Arial" w:cs="Arial"/>
          <w:color w:val="010000"/>
          <w:sz w:val="20"/>
        </w:rPr>
        <w:t xml:space="preserve">sign relevant documents to complete procedures for State management agencies </w:t>
      </w:r>
      <w:r w:rsidR="0033180C">
        <w:rPr>
          <w:rFonts w:ascii="Arial" w:hAnsi="Arial" w:cs="Arial"/>
          <w:color w:val="010000"/>
          <w:sz w:val="20"/>
        </w:rPr>
        <w:t>following</w:t>
      </w:r>
      <w:r w:rsidRPr="00DB5795">
        <w:rPr>
          <w:rFonts w:ascii="Arial" w:hAnsi="Arial" w:cs="Arial"/>
          <w:color w:val="010000"/>
          <w:sz w:val="20"/>
        </w:rPr>
        <w:t xml:space="preserve"> provisions of the law.</w:t>
      </w:r>
    </w:p>
    <w:p w14:paraId="00000019" w14:textId="77777777" w:rsidR="004F6C9A" w:rsidRPr="00DB5795" w:rsidRDefault="007A5985" w:rsidP="00010FE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Article 3: Terms of enforcement</w:t>
      </w:r>
    </w:p>
    <w:p w14:paraId="0000001A" w14:textId="3B5D1EA0" w:rsidR="004F6C9A" w:rsidRPr="00DB5795" w:rsidRDefault="007A5985" w:rsidP="00010FE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This Resolution takes effect from the date of its signing. Members of the Board of Directors, Board of Management of the company, relevant departments</w:t>
      </w:r>
      <w:r w:rsidR="0033180C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DB5795">
        <w:rPr>
          <w:rFonts w:ascii="Arial" w:hAnsi="Arial" w:cs="Arial"/>
          <w:color w:val="010000"/>
          <w:sz w:val="20"/>
        </w:rPr>
        <w:t xml:space="preserve"> and people are responsible for implementing this Resolution.</w:t>
      </w:r>
    </w:p>
    <w:p w14:paraId="0000001B" w14:textId="77777777" w:rsidR="004F6C9A" w:rsidRPr="00DB5795" w:rsidRDefault="007A5985" w:rsidP="00010FE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B5795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4F6C9A" w:rsidRPr="00DB5795" w:rsidSect="007A598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C5D32"/>
    <w:multiLevelType w:val="multilevel"/>
    <w:tmpl w:val="FB44FD8A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74C1175"/>
    <w:multiLevelType w:val="multilevel"/>
    <w:tmpl w:val="B17A391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2B965B2"/>
    <w:multiLevelType w:val="multilevel"/>
    <w:tmpl w:val="0108110A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7AD073D"/>
    <w:multiLevelType w:val="multilevel"/>
    <w:tmpl w:val="36F475FC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C2B5625"/>
    <w:multiLevelType w:val="multilevel"/>
    <w:tmpl w:val="E1B8D818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9A"/>
    <w:rsid w:val="00010FE5"/>
    <w:rsid w:val="0033180C"/>
    <w:rsid w:val="004F6C9A"/>
    <w:rsid w:val="007A5985"/>
    <w:rsid w:val="00AB6E6B"/>
    <w:rsid w:val="00DB5795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88C0EE-A63F-46EA-AC69-40EA36DF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DA6669"/>
      <w:sz w:val="17"/>
      <w:szCs w:val="17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B4A4F"/>
      <w:sz w:val="19"/>
      <w:szCs w:val="19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spacing w:line="264" w:lineRule="auto"/>
      <w:ind w:firstLine="250"/>
    </w:pPr>
    <w:rPr>
      <w:rFonts w:ascii="Arial" w:eastAsia="Arial" w:hAnsi="Arial" w:cs="Arial"/>
      <w:b/>
      <w:bCs/>
      <w:color w:val="DA6669"/>
      <w:sz w:val="17"/>
      <w:szCs w:val="17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pPr>
      <w:spacing w:line="367" w:lineRule="auto"/>
      <w:ind w:firstLine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50">
    <w:name w:val="Văn bản nội dung (5)"/>
    <w:basedOn w:val="Normal"/>
    <w:link w:val="Vnbnnidung5"/>
    <w:rPr>
      <w:rFonts w:ascii="Times New Roman" w:eastAsia="Times New Roman" w:hAnsi="Times New Roman" w:cs="Times New Roman"/>
      <w:i/>
      <w:iCs/>
      <w:color w:val="4B4A4F"/>
      <w:sz w:val="19"/>
      <w:szCs w:val="19"/>
    </w:rPr>
  </w:style>
  <w:style w:type="paragraph" w:customStyle="1" w:styleId="Vnbnnidung60">
    <w:name w:val="Văn bản nội dung (6)"/>
    <w:basedOn w:val="Normal"/>
    <w:link w:val="Vnbnnidung6"/>
    <w:pPr>
      <w:jc w:val="center"/>
    </w:pPr>
    <w:rPr>
      <w:rFonts w:ascii="Arial" w:eastAsia="Arial" w:hAnsi="Arial" w:cs="Arial"/>
      <w:sz w:val="38"/>
      <w:szCs w:val="38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uMkVy4MX18mRqIP/M8/TPInA==">CgMxLjA4AHIhMXFVblNMSHNXRTZaUGZLUEFHbGZSQUxHWnBaRGYwNVNs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453</Words>
  <Characters>2404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2024-04-11T03:36:00Z</dcterms:created>
  <dcterms:modified xsi:type="dcterms:W3CDTF">2024-04-12T07:06:00Z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a958276bd0237740839ceeda6b0bddd4de672db63f14ec6f200e3c685e2b1017</vt:lpwstr>
  </property>
</Properties>
</file>