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7D8A" w14:textId="77777777" w:rsidR="0072420C" w:rsidRPr="00287D3D" w:rsidRDefault="00287D3D" w:rsidP="00FB161C">
      <w:pPr>
        <w:pBdr>
          <w:top w:val="nil"/>
          <w:left w:val="nil"/>
          <w:bottom w:val="nil"/>
          <w:right w:val="nil"/>
          <w:between w:val="nil"/>
        </w:pBdr>
        <w:tabs>
          <w:tab w:val="left" w:pos="432"/>
          <w:tab w:val="left" w:pos="922"/>
        </w:tabs>
        <w:spacing w:after="120" w:line="360" w:lineRule="auto"/>
        <w:jc w:val="both"/>
        <w:rPr>
          <w:rFonts w:ascii="Arial" w:eastAsia="Arial" w:hAnsi="Arial" w:cs="Arial"/>
          <w:b/>
          <w:color w:val="010000"/>
          <w:sz w:val="20"/>
          <w:szCs w:val="20"/>
        </w:rPr>
      </w:pPr>
      <w:r w:rsidRPr="00287D3D">
        <w:rPr>
          <w:rFonts w:ascii="Arial" w:hAnsi="Arial"/>
          <w:b/>
          <w:color w:val="010000"/>
          <w:sz w:val="20"/>
        </w:rPr>
        <w:t>PCE: Annual General Mandate 2024</w:t>
      </w:r>
    </w:p>
    <w:p w14:paraId="3B84DCBE" w14:textId="77777777" w:rsidR="0072420C" w:rsidRPr="00287D3D" w:rsidRDefault="00287D3D" w:rsidP="00FB161C">
      <w:pPr>
        <w:pBdr>
          <w:top w:val="nil"/>
          <w:left w:val="nil"/>
          <w:bottom w:val="nil"/>
          <w:right w:val="nil"/>
          <w:between w:val="nil"/>
        </w:pBdr>
        <w:tabs>
          <w:tab w:val="left" w:pos="432"/>
          <w:tab w:val="left" w:pos="922"/>
        </w:tabs>
        <w:spacing w:after="120" w:line="360" w:lineRule="auto"/>
        <w:jc w:val="both"/>
        <w:rPr>
          <w:rFonts w:ascii="Arial" w:eastAsia="Arial" w:hAnsi="Arial" w:cs="Arial"/>
          <w:color w:val="010000"/>
          <w:sz w:val="20"/>
          <w:szCs w:val="20"/>
        </w:rPr>
      </w:pPr>
      <w:r w:rsidRPr="00287D3D">
        <w:rPr>
          <w:rFonts w:ascii="Arial" w:hAnsi="Arial"/>
          <w:color w:val="010000"/>
          <w:sz w:val="20"/>
        </w:rPr>
        <w:t xml:space="preserve">On April 5, 2024, Central </w:t>
      </w:r>
      <w:proofErr w:type="spellStart"/>
      <w:r w:rsidRPr="00287D3D">
        <w:rPr>
          <w:rFonts w:ascii="Arial" w:hAnsi="Arial"/>
          <w:color w:val="010000"/>
          <w:sz w:val="20"/>
        </w:rPr>
        <w:t>PetroVietnam</w:t>
      </w:r>
      <w:proofErr w:type="spellEnd"/>
      <w:r w:rsidRPr="00287D3D">
        <w:rPr>
          <w:rFonts w:ascii="Arial" w:hAnsi="Arial"/>
          <w:color w:val="010000"/>
          <w:sz w:val="20"/>
        </w:rPr>
        <w:t xml:space="preserve"> Fertilizer </w:t>
      </w:r>
      <w:proofErr w:type="gramStart"/>
      <w:r w:rsidRPr="00287D3D">
        <w:rPr>
          <w:rFonts w:ascii="Arial" w:hAnsi="Arial"/>
          <w:color w:val="010000"/>
          <w:sz w:val="20"/>
        </w:rPr>
        <w:t>And</w:t>
      </w:r>
      <w:proofErr w:type="gramEnd"/>
      <w:r w:rsidRPr="00287D3D">
        <w:rPr>
          <w:rFonts w:ascii="Arial" w:hAnsi="Arial"/>
          <w:color w:val="010000"/>
          <w:sz w:val="20"/>
        </w:rPr>
        <w:t xml:space="preserve"> Chemicals Joint Stock Company announced General Mandate No. 46/NQ-DHDCD as follows:</w:t>
      </w:r>
    </w:p>
    <w:p w14:paraId="7315350B"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‎‎Article 1. Approve the contents of reports and proposals submitted to the Meeting, with details as follow:</w:t>
      </w:r>
    </w:p>
    <w:p w14:paraId="0FA0E6E7" w14:textId="77777777" w:rsidR="0072420C" w:rsidRPr="00287D3D" w:rsidRDefault="00287D3D" w:rsidP="00FB161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Proposal on the approval to amend several planned targets in 2023.</w:t>
      </w:r>
    </w:p>
    <w:p w14:paraId="2AC6E1CB" w14:textId="77777777" w:rsidR="0072420C" w:rsidRPr="00287D3D" w:rsidRDefault="00287D3D" w:rsidP="00FB161C">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 xml:space="preserve">Approve the Report on business results in 2023 with major targets: </w:t>
      </w:r>
    </w:p>
    <w:p w14:paraId="2AD0F33A" w14:textId="2A2E3AAA"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Sale volume: 323,309 tons,</w:t>
      </w:r>
      <w:r w:rsidR="0085599E" w:rsidRPr="00287D3D">
        <w:rPr>
          <w:rFonts w:ascii="Arial" w:hAnsi="Arial"/>
          <w:color w:val="010000"/>
          <w:sz w:val="20"/>
        </w:rPr>
        <w:t xml:space="preserve"> reaching</w:t>
      </w:r>
      <w:r w:rsidRPr="00287D3D">
        <w:rPr>
          <w:rFonts w:ascii="Arial" w:hAnsi="Arial"/>
          <w:color w:val="010000"/>
          <w:sz w:val="20"/>
        </w:rPr>
        <w:t xml:space="preserve"> 104% of the year plan</w:t>
      </w:r>
    </w:p>
    <w:p w14:paraId="2D0FC0AD" w14:textId="77777777"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Revenue: VND 3,185 billion, reaching 104% of the year plan</w:t>
      </w:r>
    </w:p>
    <w:p w14:paraId="505F8710" w14:textId="77777777"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Profit before tax: VND 26.38 billion, reaching 132% of the year plan</w:t>
      </w:r>
    </w:p>
    <w:p w14:paraId="7BCD3EF6" w14:textId="77777777"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Profit after tax: VND 20.94 billion, reaching 130% of the year plan</w:t>
      </w:r>
    </w:p>
    <w:p w14:paraId="0BF54E85" w14:textId="77777777"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Payable to the State budget: VND 10.81 billion, reaching 111% of the year plan</w:t>
      </w:r>
    </w:p>
    <w:p w14:paraId="5CD1EE33" w14:textId="77777777" w:rsidR="0072420C" w:rsidRPr="00287D3D" w:rsidRDefault="00287D3D" w:rsidP="00FB161C">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Dividend payment rate: 14%/year.</w:t>
      </w:r>
    </w:p>
    <w:p w14:paraId="7CAC08F8" w14:textId="77777777" w:rsidR="0072420C" w:rsidRPr="00287D3D" w:rsidRDefault="00287D3D" w:rsidP="00FB161C">
      <w:pPr>
        <w:numPr>
          <w:ilvl w:val="0"/>
          <w:numId w:val="2"/>
        </w:numPr>
        <w:pBdr>
          <w:top w:val="nil"/>
          <w:left w:val="nil"/>
          <w:bottom w:val="nil"/>
          <w:right w:val="nil"/>
          <w:between w:val="nil"/>
        </w:pBdr>
        <w:tabs>
          <w:tab w:val="left" w:pos="432"/>
          <w:tab w:val="left" w:pos="59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report on business results in 2024 with major targets:</w:t>
      </w:r>
    </w:p>
    <w:p w14:paraId="6EE10841" w14:textId="77777777" w:rsidR="0072420C" w:rsidRPr="00287D3D" w:rsidRDefault="00287D3D" w:rsidP="00FB161C">
      <w:pPr>
        <w:numPr>
          <w:ilvl w:val="0"/>
          <w:numId w:val="4"/>
        </w:numPr>
        <w:pBdr>
          <w:top w:val="nil"/>
          <w:left w:val="nil"/>
          <w:bottom w:val="nil"/>
          <w:right w:val="nil"/>
          <w:between w:val="nil"/>
        </w:pBdr>
        <w:tabs>
          <w:tab w:val="left" w:pos="432"/>
          <w:tab w:val="left" w:pos="627"/>
        </w:tabs>
        <w:spacing w:after="120" w:line="360" w:lineRule="auto"/>
        <w:jc w:val="both"/>
        <w:rPr>
          <w:rFonts w:ascii="Arial" w:eastAsia="Arial" w:hAnsi="Arial" w:cs="Arial"/>
          <w:color w:val="010000"/>
          <w:sz w:val="20"/>
          <w:szCs w:val="20"/>
        </w:rPr>
      </w:pPr>
      <w:r w:rsidRPr="00287D3D">
        <w:rPr>
          <w:rFonts w:ascii="Arial" w:hAnsi="Arial"/>
          <w:color w:val="010000"/>
          <w:sz w:val="20"/>
        </w:rPr>
        <w:t>Total sale volume: 305,000 tons</w:t>
      </w:r>
    </w:p>
    <w:p w14:paraId="4A0690AF" w14:textId="77777777" w:rsidR="0072420C" w:rsidRPr="00287D3D" w:rsidRDefault="00287D3D" w:rsidP="00FB161C">
      <w:pPr>
        <w:numPr>
          <w:ilvl w:val="0"/>
          <w:numId w:val="4"/>
        </w:numPr>
        <w:pBdr>
          <w:top w:val="nil"/>
          <w:left w:val="nil"/>
          <w:bottom w:val="nil"/>
          <w:right w:val="nil"/>
          <w:between w:val="nil"/>
        </w:pBdr>
        <w:tabs>
          <w:tab w:val="left" w:pos="432"/>
          <w:tab w:val="left" w:pos="632"/>
          <w:tab w:val="left" w:pos="3494"/>
        </w:tabs>
        <w:spacing w:after="120" w:line="360" w:lineRule="auto"/>
        <w:jc w:val="both"/>
        <w:rPr>
          <w:rFonts w:ascii="Arial" w:eastAsia="Arial" w:hAnsi="Arial" w:cs="Arial"/>
          <w:color w:val="010000"/>
          <w:sz w:val="20"/>
          <w:szCs w:val="20"/>
        </w:rPr>
      </w:pPr>
      <w:r w:rsidRPr="00287D3D">
        <w:rPr>
          <w:rFonts w:ascii="Arial" w:hAnsi="Arial"/>
          <w:color w:val="010000"/>
          <w:sz w:val="20"/>
        </w:rPr>
        <w:t>Revenue: VND 2,925.25 billion.</w:t>
      </w:r>
    </w:p>
    <w:p w14:paraId="78E97924" w14:textId="77777777" w:rsidR="0072420C" w:rsidRPr="00287D3D" w:rsidRDefault="00287D3D" w:rsidP="00FB161C">
      <w:pPr>
        <w:numPr>
          <w:ilvl w:val="0"/>
          <w:numId w:val="4"/>
        </w:numPr>
        <w:pBdr>
          <w:top w:val="nil"/>
          <w:left w:val="nil"/>
          <w:bottom w:val="nil"/>
          <w:right w:val="nil"/>
          <w:between w:val="nil"/>
        </w:pBdr>
        <w:tabs>
          <w:tab w:val="left" w:pos="432"/>
          <w:tab w:val="left" w:pos="632"/>
          <w:tab w:val="left" w:pos="3494"/>
        </w:tabs>
        <w:spacing w:after="120" w:line="360" w:lineRule="auto"/>
        <w:jc w:val="both"/>
        <w:rPr>
          <w:rFonts w:ascii="Arial" w:eastAsia="Arial" w:hAnsi="Arial" w:cs="Arial"/>
          <w:color w:val="010000"/>
          <w:sz w:val="20"/>
          <w:szCs w:val="20"/>
        </w:rPr>
      </w:pPr>
      <w:r w:rsidRPr="00287D3D">
        <w:rPr>
          <w:rFonts w:ascii="Arial" w:hAnsi="Arial"/>
          <w:color w:val="010000"/>
          <w:sz w:val="20"/>
        </w:rPr>
        <w:t>Profit before tax: VND 30.75 billion.</w:t>
      </w:r>
    </w:p>
    <w:p w14:paraId="2FD945AD" w14:textId="77777777" w:rsidR="0072420C" w:rsidRPr="00287D3D" w:rsidRDefault="00287D3D" w:rsidP="00FB161C">
      <w:pPr>
        <w:numPr>
          <w:ilvl w:val="0"/>
          <w:numId w:val="4"/>
        </w:numPr>
        <w:pBdr>
          <w:top w:val="nil"/>
          <w:left w:val="nil"/>
          <w:bottom w:val="nil"/>
          <w:right w:val="nil"/>
          <w:between w:val="nil"/>
        </w:pBdr>
        <w:tabs>
          <w:tab w:val="left" w:pos="432"/>
          <w:tab w:val="left" w:pos="632"/>
          <w:tab w:val="left" w:pos="3494"/>
        </w:tabs>
        <w:spacing w:after="120" w:line="360" w:lineRule="auto"/>
        <w:jc w:val="both"/>
        <w:rPr>
          <w:rFonts w:ascii="Arial" w:eastAsia="Arial" w:hAnsi="Arial" w:cs="Arial"/>
          <w:color w:val="010000"/>
          <w:sz w:val="20"/>
          <w:szCs w:val="20"/>
        </w:rPr>
      </w:pPr>
      <w:r w:rsidRPr="00287D3D">
        <w:rPr>
          <w:rFonts w:ascii="Arial" w:hAnsi="Arial"/>
          <w:color w:val="010000"/>
          <w:sz w:val="20"/>
        </w:rPr>
        <w:t>Profit after tax: VND 24.60 billion.</w:t>
      </w:r>
    </w:p>
    <w:p w14:paraId="3D52D165" w14:textId="77777777" w:rsidR="0072420C" w:rsidRPr="00287D3D" w:rsidRDefault="00287D3D" w:rsidP="00FB161C">
      <w:pPr>
        <w:numPr>
          <w:ilvl w:val="0"/>
          <w:numId w:val="4"/>
        </w:numPr>
        <w:pBdr>
          <w:top w:val="nil"/>
          <w:left w:val="nil"/>
          <w:bottom w:val="nil"/>
          <w:right w:val="nil"/>
          <w:between w:val="nil"/>
        </w:pBdr>
        <w:tabs>
          <w:tab w:val="left" w:pos="432"/>
          <w:tab w:val="left" w:pos="632"/>
          <w:tab w:val="left" w:pos="3494"/>
        </w:tabs>
        <w:spacing w:after="120" w:line="360" w:lineRule="auto"/>
        <w:jc w:val="both"/>
        <w:rPr>
          <w:rFonts w:ascii="Arial" w:eastAsia="Arial" w:hAnsi="Arial" w:cs="Arial"/>
          <w:color w:val="010000"/>
          <w:sz w:val="20"/>
          <w:szCs w:val="20"/>
        </w:rPr>
      </w:pPr>
      <w:r w:rsidRPr="00287D3D">
        <w:rPr>
          <w:rFonts w:ascii="Arial" w:hAnsi="Arial"/>
          <w:color w:val="010000"/>
          <w:sz w:val="20"/>
        </w:rPr>
        <w:t>Payable to the State budget: VND 9.79 billion</w:t>
      </w:r>
    </w:p>
    <w:p w14:paraId="2D37D779" w14:textId="77777777" w:rsidR="0072420C" w:rsidRPr="00287D3D" w:rsidRDefault="00287D3D" w:rsidP="00FB161C">
      <w:pPr>
        <w:numPr>
          <w:ilvl w:val="0"/>
          <w:numId w:val="4"/>
        </w:numPr>
        <w:pBdr>
          <w:top w:val="nil"/>
          <w:left w:val="nil"/>
          <w:bottom w:val="nil"/>
          <w:right w:val="nil"/>
          <w:between w:val="nil"/>
        </w:pBdr>
        <w:tabs>
          <w:tab w:val="left" w:pos="432"/>
          <w:tab w:val="left" w:pos="632"/>
          <w:tab w:val="left" w:pos="3494"/>
        </w:tabs>
        <w:spacing w:after="120" w:line="360" w:lineRule="auto"/>
        <w:jc w:val="both"/>
        <w:rPr>
          <w:rFonts w:ascii="Arial" w:eastAsia="Arial" w:hAnsi="Arial" w:cs="Arial"/>
          <w:color w:val="010000"/>
          <w:sz w:val="20"/>
          <w:szCs w:val="20"/>
        </w:rPr>
      </w:pPr>
      <w:r w:rsidRPr="00287D3D">
        <w:rPr>
          <w:rFonts w:ascii="Arial" w:hAnsi="Arial"/>
          <w:color w:val="010000"/>
          <w:sz w:val="20"/>
        </w:rPr>
        <w:t>Dividend payment rate: 14%</w:t>
      </w:r>
    </w:p>
    <w:p w14:paraId="5252173F" w14:textId="261980AF" w:rsidR="0072420C" w:rsidRPr="00287D3D" w:rsidRDefault="00287D3D" w:rsidP="00FB161C">
      <w:pPr>
        <w:numPr>
          <w:ilvl w:val="0"/>
          <w:numId w:val="2"/>
        </w:numPr>
        <w:pBdr>
          <w:top w:val="nil"/>
          <w:left w:val="nil"/>
          <w:bottom w:val="nil"/>
          <w:right w:val="nil"/>
          <w:between w:val="nil"/>
        </w:pBdr>
        <w:tabs>
          <w:tab w:val="left" w:pos="432"/>
          <w:tab w:val="left" w:pos="59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Report on the activities of the Board of Directors in 2023, and the Operational plan for 2024.</w:t>
      </w:r>
    </w:p>
    <w:p w14:paraId="3252A102" w14:textId="77777777" w:rsidR="0072420C" w:rsidRPr="00287D3D" w:rsidRDefault="00287D3D" w:rsidP="00FB161C">
      <w:pPr>
        <w:numPr>
          <w:ilvl w:val="0"/>
          <w:numId w:val="2"/>
        </w:numPr>
        <w:pBdr>
          <w:top w:val="nil"/>
          <w:left w:val="nil"/>
          <w:bottom w:val="nil"/>
          <w:right w:val="nil"/>
          <w:between w:val="nil"/>
        </w:pBdr>
        <w:tabs>
          <w:tab w:val="left" w:pos="432"/>
          <w:tab w:val="left" w:pos="59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Report on activities of the Supervisory Board in 2023 and the Operational plan for 2024.</w:t>
      </w:r>
    </w:p>
    <w:p w14:paraId="26F78A64" w14:textId="77777777" w:rsidR="0072420C" w:rsidRPr="00287D3D" w:rsidRDefault="00287D3D" w:rsidP="00FB161C">
      <w:pPr>
        <w:numPr>
          <w:ilvl w:val="0"/>
          <w:numId w:val="2"/>
        </w:numPr>
        <w:pBdr>
          <w:top w:val="nil"/>
          <w:left w:val="nil"/>
          <w:bottom w:val="nil"/>
          <w:right w:val="nil"/>
          <w:between w:val="nil"/>
        </w:pBdr>
        <w:tabs>
          <w:tab w:val="left" w:pos="432"/>
          <w:tab w:val="left" w:pos="592"/>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 xml:space="preserve">The Annual General Meeting of Shareholders agreed to authorize the Board of Directors to consider and choose one out of three audit companies suggested by the Supervisory Board at the Meeting for 2024 (Deloitte Vietnam Company Limited, Ernst &amp; Young Vietnam Limited, and PwC (Vietnam) Limited. </w:t>
      </w:r>
    </w:p>
    <w:p w14:paraId="0184EECE" w14:textId="77777777" w:rsidR="0072420C" w:rsidRPr="00287D3D" w:rsidRDefault="00287D3D" w:rsidP="00FB161C">
      <w:pPr>
        <w:numPr>
          <w:ilvl w:val="0"/>
          <w:numId w:val="2"/>
        </w:numPr>
        <w:pBdr>
          <w:top w:val="nil"/>
          <w:left w:val="nil"/>
          <w:bottom w:val="nil"/>
          <w:right w:val="nil"/>
          <w:between w:val="nil"/>
        </w:pBdr>
        <w:tabs>
          <w:tab w:val="left" w:pos="432"/>
          <w:tab w:val="left" w:pos="507"/>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Financial Statements 2023 audited by Deloitte Vietnam Company Limited.</w:t>
      </w:r>
    </w:p>
    <w:p w14:paraId="63CA0B75" w14:textId="77777777" w:rsidR="0072420C" w:rsidRPr="00287D3D" w:rsidRDefault="00287D3D" w:rsidP="00FB161C">
      <w:pPr>
        <w:numPr>
          <w:ilvl w:val="0"/>
          <w:numId w:val="2"/>
        </w:numPr>
        <w:pBdr>
          <w:top w:val="nil"/>
          <w:left w:val="nil"/>
          <w:bottom w:val="nil"/>
          <w:right w:val="nil"/>
          <w:between w:val="nil"/>
        </w:pBdr>
        <w:tabs>
          <w:tab w:val="left" w:pos="432"/>
          <w:tab w:val="left" w:pos="507"/>
        </w:tabs>
        <w:spacing w:after="120" w:line="360" w:lineRule="auto"/>
        <w:ind w:left="0" w:firstLine="0"/>
        <w:jc w:val="both"/>
        <w:rPr>
          <w:rFonts w:ascii="Arial" w:eastAsia="Arial" w:hAnsi="Arial" w:cs="Arial"/>
          <w:color w:val="010000"/>
          <w:sz w:val="20"/>
          <w:szCs w:val="20"/>
        </w:rPr>
      </w:pPr>
      <w:r w:rsidRPr="00287D3D">
        <w:rPr>
          <w:rFonts w:ascii="Arial" w:hAnsi="Arial"/>
          <w:color w:val="010000"/>
          <w:sz w:val="20"/>
        </w:rPr>
        <w:t>Approve the Plan on profit distribution in 2023, specifically:</w:t>
      </w: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6328"/>
        <w:gridCol w:w="2051"/>
      </w:tblGrid>
      <w:tr w:rsidR="0072420C" w:rsidRPr="00287D3D" w14:paraId="1215E6C8" w14:textId="77777777">
        <w:trPr>
          <w:trHeight w:val="20"/>
        </w:trPr>
        <w:tc>
          <w:tcPr>
            <w:tcW w:w="640" w:type="dxa"/>
            <w:shd w:val="clear" w:color="auto" w:fill="FFFFFF"/>
            <w:tcMar>
              <w:top w:w="0" w:type="dxa"/>
              <w:bottom w:w="0" w:type="dxa"/>
            </w:tcMar>
            <w:vAlign w:val="center"/>
          </w:tcPr>
          <w:p w14:paraId="5926714D"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No.</w:t>
            </w:r>
          </w:p>
        </w:tc>
        <w:tc>
          <w:tcPr>
            <w:tcW w:w="6328" w:type="dxa"/>
            <w:shd w:val="clear" w:color="auto" w:fill="FFFFFF"/>
            <w:tcMar>
              <w:top w:w="0" w:type="dxa"/>
              <w:bottom w:w="0" w:type="dxa"/>
            </w:tcMar>
            <w:vAlign w:val="center"/>
          </w:tcPr>
          <w:p w14:paraId="32D58E8F"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Targets</w:t>
            </w:r>
          </w:p>
        </w:tc>
        <w:tc>
          <w:tcPr>
            <w:tcW w:w="2051" w:type="dxa"/>
            <w:shd w:val="clear" w:color="auto" w:fill="FFFFFF"/>
            <w:tcMar>
              <w:top w:w="0" w:type="dxa"/>
              <w:bottom w:w="0" w:type="dxa"/>
            </w:tcMar>
            <w:vAlign w:val="bottom"/>
          </w:tcPr>
          <w:p w14:paraId="45CAD9E4"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Profit distribution in 2023</w:t>
            </w:r>
          </w:p>
        </w:tc>
      </w:tr>
      <w:tr w:rsidR="0072420C" w:rsidRPr="00287D3D" w14:paraId="499209E1" w14:textId="77777777">
        <w:trPr>
          <w:trHeight w:val="20"/>
        </w:trPr>
        <w:tc>
          <w:tcPr>
            <w:tcW w:w="640" w:type="dxa"/>
            <w:shd w:val="clear" w:color="auto" w:fill="FFFFFF"/>
            <w:tcMar>
              <w:top w:w="0" w:type="dxa"/>
              <w:bottom w:w="0" w:type="dxa"/>
            </w:tcMar>
            <w:vAlign w:val="bottom"/>
          </w:tcPr>
          <w:p w14:paraId="6D435029"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lastRenderedPageBreak/>
              <w:t>1</w:t>
            </w:r>
          </w:p>
        </w:tc>
        <w:tc>
          <w:tcPr>
            <w:tcW w:w="6328" w:type="dxa"/>
            <w:shd w:val="clear" w:color="auto" w:fill="FFFFFF"/>
            <w:tcMar>
              <w:top w:w="0" w:type="dxa"/>
              <w:bottom w:w="0" w:type="dxa"/>
            </w:tcMar>
            <w:vAlign w:val="bottom"/>
          </w:tcPr>
          <w:p w14:paraId="4A671600"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Accumulated undistributed profit transferred from 2022</w:t>
            </w:r>
          </w:p>
        </w:tc>
        <w:tc>
          <w:tcPr>
            <w:tcW w:w="2051" w:type="dxa"/>
            <w:shd w:val="clear" w:color="auto" w:fill="FFFFFF"/>
            <w:tcMar>
              <w:top w:w="0" w:type="dxa"/>
              <w:bottom w:w="0" w:type="dxa"/>
            </w:tcMar>
            <w:vAlign w:val="bottom"/>
          </w:tcPr>
          <w:p w14:paraId="6FC3E76C"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45,531,052,895</w:t>
            </w:r>
          </w:p>
        </w:tc>
      </w:tr>
      <w:tr w:rsidR="0072420C" w:rsidRPr="00287D3D" w14:paraId="4CFDBEFF" w14:textId="77777777">
        <w:trPr>
          <w:trHeight w:val="20"/>
        </w:trPr>
        <w:tc>
          <w:tcPr>
            <w:tcW w:w="640" w:type="dxa"/>
            <w:shd w:val="clear" w:color="auto" w:fill="FFFFFF"/>
            <w:tcMar>
              <w:top w:w="0" w:type="dxa"/>
              <w:bottom w:w="0" w:type="dxa"/>
            </w:tcMar>
            <w:vAlign w:val="bottom"/>
          </w:tcPr>
          <w:p w14:paraId="0291C918"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2</w:t>
            </w:r>
          </w:p>
        </w:tc>
        <w:tc>
          <w:tcPr>
            <w:tcW w:w="6328" w:type="dxa"/>
            <w:shd w:val="clear" w:color="auto" w:fill="FFFFFF"/>
            <w:tcMar>
              <w:top w:w="0" w:type="dxa"/>
              <w:bottom w:w="0" w:type="dxa"/>
            </w:tcMar>
            <w:vAlign w:val="bottom"/>
          </w:tcPr>
          <w:p w14:paraId="2DDC54B8"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Profit after tax in 2023 for distribution</w:t>
            </w:r>
          </w:p>
        </w:tc>
        <w:tc>
          <w:tcPr>
            <w:tcW w:w="2051" w:type="dxa"/>
            <w:shd w:val="clear" w:color="auto" w:fill="FFFFFF"/>
            <w:tcMar>
              <w:top w:w="0" w:type="dxa"/>
              <w:bottom w:w="0" w:type="dxa"/>
            </w:tcMar>
            <w:vAlign w:val="bottom"/>
          </w:tcPr>
          <w:p w14:paraId="78AAD6C2"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20,939,056,949</w:t>
            </w:r>
          </w:p>
        </w:tc>
      </w:tr>
      <w:tr w:rsidR="0072420C" w:rsidRPr="00287D3D" w14:paraId="3E4773DF" w14:textId="77777777">
        <w:trPr>
          <w:trHeight w:val="20"/>
        </w:trPr>
        <w:tc>
          <w:tcPr>
            <w:tcW w:w="640" w:type="dxa"/>
            <w:shd w:val="clear" w:color="auto" w:fill="FFFFFF"/>
            <w:tcMar>
              <w:top w:w="0" w:type="dxa"/>
              <w:bottom w:w="0" w:type="dxa"/>
            </w:tcMar>
            <w:vAlign w:val="bottom"/>
          </w:tcPr>
          <w:p w14:paraId="3D95137B"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3</w:t>
            </w:r>
          </w:p>
        </w:tc>
        <w:tc>
          <w:tcPr>
            <w:tcW w:w="6328" w:type="dxa"/>
            <w:shd w:val="clear" w:color="auto" w:fill="FFFFFF"/>
            <w:tcMar>
              <w:top w:w="0" w:type="dxa"/>
              <w:bottom w:w="0" w:type="dxa"/>
            </w:tcMar>
            <w:vAlign w:val="bottom"/>
          </w:tcPr>
          <w:p w14:paraId="1B191D2B"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Appropriation for funds from profit after tax in 2023</w:t>
            </w:r>
          </w:p>
        </w:tc>
        <w:tc>
          <w:tcPr>
            <w:tcW w:w="2051" w:type="dxa"/>
            <w:shd w:val="clear" w:color="auto" w:fill="FFFFFF"/>
            <w:tcMar>
              <w:top w:w="0" w:type="dxa"/>
              <w:bottom w:w="0" w:type="dxa"/>
            </w:tcMar>
            <w:vAlign w:val="bottom"/>
          </w:tcPr>
          <w:p w14:paraId="2D80B90A"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4,676,717,085</w:t>
            </w:r>
          </w:p>
        </w:tc>
      </w:tr>
      <w:tr w:rsidR="0072420C" w:rsidRPr="00287D3D" w14:paraId="75A7A67D" w14:textId="77777777">
        <w:trPr>
          <w:trHeight w:val="20"/>
        </w:trPr>
        <w:tc>
          <w:tcPr>
            <w:tcW w:w="640" w:type="dxa"/>
            <w:shd w:val="clear" w:color="auto" w:fill="FFFFFF"/>
            <w:tcMar>
              <w:top w:w="0" w:type="dxa"/>
              <w:bottom w:w="0" w:type="dxa"/>
            </w:tcMar>
            <w:vAlign w:val="bottom"/>
          </w:tcPr>
          <w:p w14:paraId="5635178A"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4</w:t>
            </w:r>
          </w:p>
        </w:tc>
        <w:tc>
          <w:tcPr>
            <w:tcW w:w="6328" w:type="dxa"/>
            <w:shd w:val="clear" w:color="auto" w:fill="FFFFFF"/>
            <w:tcMar>
              <w:top w:w="0" w:type="dxa"/>
              <w:bottom w:w="0" w:type="dxa"/>
            </w:tcMar>
            <w:vAlign w:val="bottom"/>
          </w:tcPr>
          <w:p w14:paraId="4DD4E7B1"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Profit in 2023 after appropriation for funds</w:t>
            </w:r>
          </w:p>
        </w:tc>
        <w:tc>
          <w:tcPr>
            <w:tcW w:w="2051" w:type="dxa"/>
            <w:shd w:val="clear" w:color="auto" w:fill="FFFFFF"/>
            <w:tcMar>
              <w:top w:w="0" w:type="dxa"/>
              <w:bottom w:w="0" w:type="dxa"/>
            </w:tcMar>
            <w:vAlign w:val="bottom"/>
          </w:tcPr>
          <w:p w14:paraId="7BC953FA"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16,262,339,864</w:t>
            </w:r>
          </w:p>
        </w:tc>
      </w:tr>
      <w:tr w:rsidR="0072420C" w:rsidRPr="00287D3D" w14:paraId="4DC6362F" w14:textId="77777777">
        <w:trPr>
          <w:trHeight w:val="20"/>
        </w:trPr>
        <w:tc>
          <w:tcPr>
            <w:tcW w:w="640" w:type="dxa"/>
            <w:shd w:val="clear" w:color="auto" w:fill="FFFFFF"/>
            <w:tcMar>
              <w:top w:w="0" w:type="dxa"/>
              <w:bottom w:w="0" w:type="dxa"/>
            </w:tcMar>
            <w:vAlign w:val="bottom"/>
          </w:tcPr>
          <w:p w14:paraId="3BAAEF3D"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5</w:t>
            </w:r>
          </w:p>
        </w:tc>
        <w:tc>
          <w:tcPr>
            <w:tcW w:w="6328" w:type="dxa"/>
            <w:shd w:val="clear" w:color="auto" w:fill="FFFFFF"/>
            <w:tcMar>
              <w:top w:w="0" w:type="dxa"/>
              <w:bottom w:w="0" w:type="dxa"/>
            </w:tcMar>
            <w:vAlign w:val="bottom"/>
          </w:tcPr>
          <w:p w14:paraId="27A8CB4E"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Total accumulated profit until 2023 for dividend payments</w:t>
            </w:r>
          </w:p>
        </w:tc>
        <w:tc>
          <w:tcPr>
            <w:tcW w:w="2051" w:type="dxa"/>
            <w:shd w:val="clear" w:color="auto" w:fill="FFFFFF"/>
            <w:tcMar>
              <w:top w:w="0" w:type="dxa"/>
              <w:bottom w:w="0" w:type="dxa"/>
            </w:tcMar>
            <w:vAlign w:val="bottom"/>
          </w:tcPr>
          <w:p w14:paraId="118C4881"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61,793,392,759</w:t>
            </w:r>
          </w:p>
        </w:tc>
      </w:tr>
      <w:tr w:rsidR="0072420C" w:rsidRPr="00287D3D" w14:paraId="3FF66582" w14:textId="77777777">
        <w:trPr>
          <w:trHeight w:val="20"/>
        </w:trPr>
        <w:tc>
          <w:tcPr>
            <w:tcW w:w="640" w:type="dxa"/>
            <w:shd w:val="clear" w:color="auto" w:fill="FFFFFF"/>
            <w:tcMar>
              <w:top w:w="0" w:type="dxa"/>
              <w:bottom w:w="0" w:type="dxa"/>
            </w:tcMar>
            <w:vAlign w:val="bottom"/>
          </w:tcPr>
          <w:p w14:paraId="48198131"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6</w:t>
            </w:r>
          </w:p>
        </w:tc>
        <w:tc>
          <w:tcPr>
            <w:tcW w:w="6328" w:type="dxa"/>
            <w:shd w:val="clear" w:color="auto" w:fill="FFFFFF"/>
            <w:tcMar>
              <w:top w:w="0" w:type="dxa"/>
              <w:bottom w:w="0" w:type="dxa"/>
            </w:tcMar>
            <w:vAlign w:val="bottom"/>
          </w:tcPr>
          <w:p w14:paraId="157DFFA8"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Dividend payments (by cash)</w:t>
            </w:r>
          </w:p>
        </w:tc>
        <w:tc>
          <w:tcPr>
            <w:tcW w:w="2051" w:type="dxa"/>
            <w:shd w:val="clear" w:color="auto" w:fill="FFFFFF"/>
            <w:tcMar>
              <w:top w:w="0" w:type="dxa"/>
              <w:bottom w:w="0" w:type="dxa"/>
            </w:tcMar>
            <w:vAlign w:val="bottom"/>
          </w:tcPr>
          <w:p w14:paraId="1DC5951E"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14,000,000,000</w:t>
            </w:r>
          </w:p>
        </w:tc>
      </w:tr>
      <w:tr w:rsidR="0072420C" w:rsidRPr="00287D3D" w14:paraId="5405975E" w14:textId="77777777">
        <w:trPr>
          <w:trHeight w:val="20"/>
        </w:trPr>
        <w:tc>
          <w:tcPr>
            <w:tcW w:w="640" w:type="dxa"/>
            <w:shd w:val="clear" w:color="auto" w:fill="FFFFFF"/>
            <w:tcMar>
              <w:top w:w="0" w:type="dxa"/>
              <w:bottom w:w="0" w:type="dxa"/>
            </w:tcMar>
            <w:vAlign w:val="bottom"/>
          </w:tcPr>
          <w:p w14:paraId="6AA0FC3F"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7</w:t>
            </w:r>
          </w:p>
        </w:tc>
        <w:tc>
          <w:tcPr>
            <w:tcW w:w="6328" w:type="dxa"/>
            <w:shd w:val="clear" w:color="auto" w:fill="FFFFFF"/>
            <w:tcMar>
              <w:top w:w="0" w:type="dxa"/>
              <w:bottom w:w="0" w:type="dxa"/>
            </w:tcMar>
            <w:vAlign w:val="bottom"/>
          </w:tcPr>
          <w:p w14:paraId="3CF9FCCA"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Profit transferred to 2024</w:t>
            </w:r>
          </w:p>
        </w:tc>
        <w:tc>
          <w:tcPr>
            <w:tcW w:w="2051" w:type="dxa"/>
            <w:shd w:val="clear" w:color="auto" w:fill="FFFFFF"/>
            <w:tcMar>
              <w:top w:w="0" w:type="dxa"/>
              <w:bottom w:w="0" w:type="dxa"/>
            </w:tcMar>
            <w:vAlign w:val="bottom"/>
          </w:tcPr>
          <w:p w14:paraId="5D63AD8B"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47,793,392,759</w:t>
            </w:r>
          </w:p>
        </w:tc>
      </w:tr>
    </w:tbl>
    <w:p w14:paraId="758CE43C" w14:textId="77777777" w:rsidR="0072420C" w:rsidRPr="00287D3D" w:rsidRDefault="00287D3D" w:rsidP="00FB161C">
      <w:pPr>
        <w:numPr>
          <w:ilvl w:val="0"/>
          <w:numId w:val="1"/>
        </w:numPr>
        <w:pBdr>
          <w:top w:val="nil"/>
          <w:left w:val="nil"/>
          <w:bottom w:val="nil"/>
          <w:right w:val="nil"/>
          <w:between w:val="nil"/>
        </w:pBdr>
        <w:tabs>
          <w:tab w:val="left" w:pos="432"/>
          <w:tab w:val="left" w:pos="507"/>
        </w:tabs>
        <w:spacing w:after="120" w:line="360" w:lineRule="auto"/>
        <w:jc w:val="both"/>
        <w:rPr>
          <w:rFonts w:ascii="Arial" w:eastAsia="Arial" w:hAnsi="Arial" w:cs="Arial"/>
          <w:color w:val="010000"/>
          <w:sz w:val="20"/>
          <w:szCs w:val="20"/>
        </w:rPr>
      </w:pPr>
      <w:r w:rsidRPr="00287D3D">
        <w:rPr>
          <w:rFonts w:ascii="Arial" w:hAnsi="Arial"/>
          <w:color w:val="010000"/>
          <w:sz w:val="20"/>
        </w:rPr>
        <w:t>Approve the Plan on profit distribution in 2024, specifically:</w:t>
      </w:r>
    </w:p>
    <w:p w14:paraId="391CD200" w14:textId="77777777" w:rsidR="0072420C" w:rsidRPr="00287D3D" w:rsidRDefault="00287D3D" w:rsidP="00FB161C">
      <w:pPr>
        <w:numPr>
          <w:ilvl w:val="0"/>
          <w:numId w:val="4"/>
        </w:numPr>
        <w:pBdr>
          <w:top w:val="nil"/>
          <w:left w:val="nil"/>
          <w:bottom w:val="nil"/>
          <w:right w:val="nil"/>
          <w:between w:val="nil"/>
        </w:pBdr>
        <w:tabs>
          <w:tab w:val="left" w:pos="432"/>
          <w:tab w:val="left" w:pos="522"/>
        </w:tabs>
        <w:spacing w:after="120" w:line="360" w:lineRule="auto"/>
        <w:jc w:val="both"/>
        <w:rPr>
          <w:rFonts w:ascii="Arial" w:eastAsia="Arial" w:hAnsi="Arial" w:cs="Arial"/>
          <w:color w:val="010000"/>
          <w:sz w:val="20"/>
          <w:szCs w:val="20"/>
        </w:rPr>
      </w:pPr>
      <w:r w:rsidRPr="00287D3D">
        <w:rPr>
          <w:rFonts w:ascii="Arial" w:hAnsi="Arial"/>
          <w:color w:val="010000"/>
          <w:sz w:val="20"/>
        </w:rPr>
        <w:t>Dividend payments in cash, with the expected rate as follows: 14%/par value of shares.</w:t>
      </w:r>
    </w:p>
    <w:p w14:paraId="21B11BC0" w14:textId="77777777" w:rsidR="0072420C" w:rsidRPr="00287D3D" w:rsidRDefault="00287D3D" w:rsidP="00FB161C">
      <w:pPr>
        <w:numPr>
          <w:ilvl w:val="0"/>
          <w:numId w:val="4"/>
        </w:numPr>
        <w:pBdr>
          <w:top w:val="nil"/>
          <w:left w:val="nil"/>
          <w:bottom w:val="nil"/>
          <w:right w:val="nil"/>
          <w:between w:val="nil"/>
        </w:pBdr>
        <w:tabs>
          <w:tab w:val="left" w:pos="432"/>
          <w:tab w:val="left" w:pos="572"/>
        </w:tabs>
        <w:spacing w:after="120" w:line="360" w:lineRule="auto"/>
        <w:jc w:val="both"/>
        <w:rPr>
          <w:rFonts w:ascii="Arial" w:eastAsia="Arial" w:hAnsi="Arial" w:cs="Arial"/>
          <w:color w:val="010000"/>
          <w:sz w:val="20"/>
          <w:szCs w:val="20"/>
        </w:rPr>
      </w:pPr>
      <w:r w:rsidRPr="00287D3D">
        <w:rPr>
          <w:rFonts w:ascii="Arial" w:hAnsi="Arial"/>
          <w:color w:val="010000"/>
          <w:sz w:val="20"/>
        </w:rPr>
        <w:t>Remaining undistributed profit after tax for appropriation for bonus and welfare fund: 20% of profit after tax.</w:t>
      </w:r>
    </w:p>
    <w:p w14:paraId="22824EBF" w14:textId="77777777" w:rsidR="0072420C" w:rsidRPr="00287D3D" w:rsidRDefault="00287D3D" w:rsidP="00FB161C">
      <w:pPr>
        <w:numPr>
          <w:ilvl w:val="0"/>
          <w:numId w:val="1"/>
        </w:numPr>
        <w:pBdr>
          <w:top w:val="nil"/>
          <w:left w:val="nil"/>
          <w:bottom w:val="nil"/>
          <w:right w:val="nil"/>
          <w:between w:val="nil"/>
        </w:pBdr>
        <w:tabs>
          <w:tab w:val="left" w:pos="432"/>
          <w:tab w:val="left" w:pos="507"/>
        </w:tabs>
        <w:spacing w:after="120" w:line="360" w:lineRule="auto"/>
        <w:jc w:val="both"/>
        <w:rPr>
          <w:rFonts w:ascii="Arial" w:eastAsia="Arial" w:hAnsi="Arial" w:cs="Arial"/>
          <w:color w:val="010000"/>
          <w:sz w:val="20"/>
          <w:szCs w:val="20"/>
        </w:rPr>
      </w:pPr>
      <w:r w:rsidRPr="00287D3D">
        <w:rPr>
          <w:rFonts w:ascii="Arial" w:hAnsi="Arial"/>
          <w:color w:val="010000"/>
          <w:sz w:val="20"/>
        </w:rPr>
        <w:t>Approve the Report on salaries, remuneration and other benefits of the Board of Directors and the Supervisory Board in 2023 and the Plan on salary and remuneration and other benefits of the Board of Directors and the Supervisory Board in 2024;</w:t>
      </w:r>
    </w:p>
    <w:p w14:paraId="7C13BF7D" w14:textId="77777777" w:rsidR="0072420C" w:rsidRPr="00287D3D" w:rsidRDefault="00287D3D" w:rsidP="00FB161C">
      <w:pPr>
        <w:numPr>
          <w:ilvl w:val="0"/>
          <w:numId w:val="4"/>
        </w:numPr>
        <w:pBdr>
          <w:top w:val="nil"/>
          <w:left w:val="nil"/>
          <w:bottom w:val="nil"/>
          <w:right w:val="nil"/>
          <w:between w:val="nil"/>
        </w:pBdr>
        <w:tabs>
          <w:tab w:val="left" w:pos="432"/>
          <w:tab w:val="left" w:pos="532"/>
          <w:tab w:val="left" w:pos="3999"/>
        </w:tabs>
        <w:spacing w:after="120" w:line="360" w:lineRule="auto"/>
        <w:jc w:val="both"/>
        <w:rPr>
          <w:rFonts w:ascii="Arial" w:eastAsia="Arial" w:hAnsi="Arial" w:cs="Arial"/>
          <w:color w:val="010000"/>
          <w:sz w:val="20"/>
          <w:szCs w:val="20"/>
        </w:rPr>
      </w:pPr>
      <w:r w:rsidRPr="00287D3D">
        <w:rPr>
          <w:rFonts w:ascii="Arial" w:hAnsi="Arial"/>
          <w:color w:val="010000"/>
          <w:sz w:val="20"/>
        </w:rPr>
        <w:t>Report on 2023 Results: VND 2,510,905,782.</w:t>
      </w:r>
    </w:p>
    <w:p w14:paraId="1CA610E7" w14:textId="77777777" w:rsidR="0072420C" w:rsidRPr="00287D3D" w:rsidRDefault="00287D3D" w:rsidP="00FB161C">
      <w:pPr>
        <w:numPr>
          <w:ilvl w:val="0"/>
          <w:numId w:val="4"/>
        </w:numPr>
        <w:pBdr>
          <w:top w:val="nil"/>
          <w:left w:val="nil"/>
          <w:bottom w:val="nil"/>
          <w:right w:val="nil"/>
          <w:between w:val="nil"/>
        </w:pBdr>
        <w:tabs>
          <w:tab w:val="left" w:pos="432"/>
          <w:tab w:val="left" w:pos="532"/>
          <w:tab w:val="left" w:pos="3999"/>
        </w:tabs>
        <w:spacing w:after="120" w:line="360" w:lineRule="auto"/>
        <w:jc w:val="both"/>
        <w:rPr>
          <w:rFonts w:ascii="Arial" w:eastAsia="Arial" w:hAnsi="Arial" w:cs="Arial"/>
          <w:color w:val="010000"/>
          <w:sz w:val="20"/>
          <w:szCs w:val="20"/>
        </w:rPr>
      </w:pPr>
      <w:r w:rsidRPr="00287D3D">
        <w:rPr>
          <w:rFonts w:ascii="Arial" w:hAnsi="Arial"/>
          <w:color w:val="010000"/>
          <w:sz w:val="20"/>
        </w:rPr>
        <w:t>Plan for 2024: VND 2,657,591,259.</w:t>
      </w:r>
    </w:p>
    <w:p w14:paraId="29E33660" w14:textId="26A9DCC0" w:rsidR="0072420C" w:rsidRPr="00287D3D" w:rsidRDefault="00287D3D" w:rsidP="00FB161C">
      <w:pPr>
        <w:numPr>
          <w:ilvl w:val="0"/>
          <w:numId w:val="1"/>
        </w:numPr>
        <w:pBdr>
          <w:top w:val="nil"/>
          <w:left w:val="nil"/>
          <w:bottom w:val="nil"/>
          <w:right w:val="nil"/>
          <w:between w:val="nil"/>
        </w:pBdr>
        <w:tabs>
          <w:tab w:val="left" w:pos="432"/>
          <w:tab w:val="left" w:pos="507"/>
        </w:tabs>
        <w:spacing w:after="120" w:line="360" w:lineRule="auto"/>
        <w:jc w:val="both"/>
        <w:rPr>
          <w:rFonts w:ascii="Arial" w:eastAsia="Arial" w:hAnsi="Arial" w:cs="Arial"/>
          <w:color w:val="010000"/>
          <w:sz w:val="20"/>
          <w:szCs w:val="20"/>
        </w:rPr>
      </w:pPr>
      <w:r w:rsidRPr="00287D3D">
        <w:rPr>
          <w:rFonts w:ascii="Arial" w:hAnsi="Arial"/>
          <w:color w:val="010000"/>
          <w:sz w:val="20"/>
        </w:rPr>
        <w:t xml:space="preserve">Approve the policy to sign contracts, transactions and purchases with the major shareholder - </w:t>
      </w:r>
      <w:proofErr w:type="spellStart"/>
      <w:r w:rsidRPr="00287D3D">
        <w:rPr>
          <w:rFonts w:ascii="Arial" w:hAnsi="Arial"/>
          <w:color w:val="010000"/>
          <w:sz w:val="20"/>
        </w:rPr>
        <w:t>Petrovietnam</w:t>
      </w:r>
      <w:proofErr w:type="spellEnd"/>
      <w:r w:rsidRPr="00287D3D">
        <w:rPr>
          <w:rFonts w:ascii="Arial" w:hAnsi="Arial"/>
          <w:color w:val="010000"/>
          <w:sz w:val="20"/>
        </w:rPr>
        <w:t xml:space="preserve"> Fertilizer &amp; Chemicals Corporation, and assign the Company’s Board of Directors to execute contracts and transactions under the authorities of the General Meeting of Shareholders.</w:t>
      </w:r>
    </w:p>
    <w:p w14:paraId="0CA9CD28" w14:textId="77777777"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‎‎Article 2. The General Mandate was approved by the Company’s Annual General Meeting of Shareholders and takes effect from April 5, 2024.</w:t>
      </w:r>
    </w:p>
    <w:p w14:paraId="6930278F" w14:textId="567E8F94" w:rsidR="0072420C" w:rsidRPr="00287D3D" w:rsidRDefault="00287D3D" w:rsidP="00FB161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87D3D">
        <w:rPr>
          <w:rFonts w:ascii="Arial" w:hAnsi="Arial"/>
          <w:color w:val="010000"/>
          <w:sz w:val="20"/>
        </w:rPr>
        <w:t xml:space="preserve">‎‎Article 3. The Board of Directors, the Board of Managers, the Supervisory Board, and Heads of functional departments and subsidiaries of Central </w:t>
      </w:r>
      <w:proofErr w:type="spellStart"/>
      <w:r w:rsidRPr="00287D3D">
        <w:rPr>
          <w:rFonts w:ascii="Arial" w:hAnsi="Arial"/>
          <w:color w:val="010000"/>
          <w:sz w:val="20"/>
        </w:rPr>
        <w:t>PetroVietnam</w:t>
      </w:r>
      <w:proofErr w:type="spellEnd"/>
      <w:r w:rsidRPr="00287D3D">
        <w:rPr>
          <w:rFonts w:ascii="Arial" w:hAnsi="Arial"/>
          <w:color w:val="010000"/>
          <w:sz w:val="20"/>
        </w:rPr>
        <w:t xml:space="preserve"> Fertilizer </w:t>
      </w:r>
      <w:proofErr w:type="gramStart"/>
      <w:r w:rsidRPr="00287D3D">
        <w:rPr>
          <w:rFonts w:ascii="Arial" w:hAnsi="Arial"/>
          <w:color w:val="010000"/>
          <w:sz w:val="20"/>
        </w:rPr>
        <w:t>A</w:t>
      </w:r>
      <w:bookmarkStart w:id="0" w:name="_GoBack"/>
      <w:bookmarkEnd w:id="0"/>
      <w:r w:rsidRPr="00287D3D">
        <w:rPr>
          <w:rFonts w:ascii="Arial" w:hAnsi="Arial"/>
          <w:color w:val="010000"/>
          <w:sz w:val="20"/>
        </w:rPr>
        <w:t>nd</w:t>
      </w:r>
      <w:proofErr w:type="gramEnd"/>
      <w:r w:rsidRPr="00287D3D">
        <w:rPr>
          <w:rFonts w:ascii="Arial" w:hAnsi="Arial"/>
          <w:color w:val="010000"/>
          <w:sz w:val="20"/>
        </w:rPr>
        <w:t xml:space="preserve"> Chemicals JSC are responsible for the implementation of this General Mandate.</w:t>
      </w:r>
    </w:p>
    <w:sectPr w:rsidR="0072420C" w:rsidRPr="00287D3D">
      <w:pgSz w:w="11909"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0446"/>
    <w:multiLevelType w:val="multilevel"/>
    <w:tmpl w:val="2A345A72"/>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2266A"/>
    <w:multiLevelType w:val="multilevel"/>
    <w:tmpl w:val="B01253E2"/>
    <w:lvl w:ilvl="0">
      <w:start w:val="2"/>
      <w:numFmt w:val="bullet"/>
      <w:lvlText w:val="-"/>
      <w:lvlJc w:val="left"/>
      <w:pPr>
        <w:ind w:left="720" w:hanging="360"/>
      </w:pPr>
      <w:rPr>
        <w:rFonts w:ascii="Arial" w:eastAsia="Arial" w:hAnsi="Arial" w:cs="Arial"/>
        <w:b w:val="0"/>
        <w:i w:val="0"/>
        <w:color w:val="00000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03468C"/>
    <w:multiLevelType w:val="multilevel"/>
    <w:tmpl w:val="58C26BD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6FC14F3"/>
    <w:multiLevelType w:val="multilevel"/>
    <w:tmpl w:val="C63C688C"/>
    <w:lvl w:ilvl="0">
      <w:start w:val="9"/>
      <w:numFmt w:val="decimal"/>
      <w:lvlText w:val="%1."/>
      <w:lvlJc w:val="left"/>
      <w:pPr>
        <w:ind w:left="0" w:firstLine="0"/>
      </w:pPr>
      <w:rPr>
        <w:rFonts w:ascii="Arial" w:eastAsia="Arial" w:hAnsi="Arial" w:cs="Arial"/>
        <w:b w:val="0"/>
        <w:i w:val="0"/>
        <w:smallCaps w:val="0"/>
        <w:strike w:val="0"/>
        <w:color w:val="313132"/>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0C"/>
    <w:rsid w:val="00287D3D"/>
    <w:rsid w:val="0072420C"/>
    <w:rsid w:val="0085599E"/>
    <w:rsid w:val="00937DA9"/>
    <w:rsid w:val="00FB161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DC479"/>
  <w15:docId w15:val="{8550E357-DD97-42CF-9383-E30E527D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1C1C1D"/>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13132"/>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1C1C1D"/>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313132"/>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313132"/>
      <w:sz w:val="22"/>
      <w:szCs w:val="22"/>
      <w:u w:val="none"/>
      <w:shd w:val="clear" w:color="auto" w:fill="auto"/>
    </w:rPr>
  </w:style>
  <w:style w:type="paragraph" w:customStyle="1" w:styleId="Bodytext20">
    <w:name w:val="Body text (2)"/>
    <w:basedOn w:val="Normal"/>
    <w:link w:val="Bodytext2"/>
    <w:pPr>
      <w:spacing w:line="276" w:lineRule="auto"/>
      <w:jc w:val="center"/>
    </w:pPr>
    <w:rPr>
      <w:rFonts w:ascii="Times New Roman" w:eastAsia="Times New Roman" w:hAnsi="Times New Roman" w:cs="Times New Roman"/>
      <w:b/>
      <w:bCs/>
      <w:color w:val="1C1C1D"/>
      <w:sz w:val="19"/>
      <w:szCs w:val="19"/>
    </w:rPr>
  </w:style>
  <w:style w:type="paragraph" w:styleId="BodyText">
    <w:name w:val="Body Text"/>
    <w:basedOn w:val="Normal"/>
    <w:link w:val="BodyTextChar"/>
    <w:qFormat/>
    <w:pPr>
      <w:spacing w:line="262" w:lineRule="auto"/>
    </w:pPr>
    <w:rPr>
      <w:rFonts w:ascii="Times New Roman" w:eastAsia="Times New Roman" w:hAnsi="Times New Roman" w:cs="Times New Roman"/>
      <w:color w:val="313132"/>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color w:val="1C1C1D"/>
    </w:rPr>
  </w:style>
  <w:style w:type="paragraph" w:customStyle="1" w:styleId="Tablecaption0">
    <w:name w:val="Table caption"/>
    <w:basedOn w:val="Normal"/>
    <w:link w:val="Tablecaption"/>
    <w:pPr>
      <w:spacing w:line="264" w:lineRule="auto"/>
    </w:pPr>
    <w:rPr>
      <w:rFonts w:ascii="Times New Roman" w:eastAsia="Times New Roman" w:hAnsi="Times New Roman" w:cs="Times New Roman"/>
      <w:color w:val="313132"/>
      <w:sz w:val="22"/>
      <w:szCs w:val="22"/>
    </w:rPr>
  </w:style>
  <w:style w:type="paragraph" w:customStyle="1" w:styleId="Other0">
    <w:name w:val="Other"/>
    <w:basedOn w:val="Normal"/>
    <w:link w:val="Other"/>
    <w:pPr>
      <w:spacing w:line="262" w:lineRule="auto"/>
    </w:pPr>
    <w:rPr>
      <w:rFonts w:ascii="Times New Roman" w:eastAsia="Times New Roman" w:hAnsi="Times New Roman" w:cs="Times New Roman"/>
      <w:color w:val="313132"/>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aqbJBeJForiT2EUg1Q76KmXQg==">CgMxLjA4AHIhMVAwVndzLXBJY2JDNk1DRDBfSGtnTDB0a3Vydy03QmJC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Hoang Phuong Thao</cp:lastModifiedBy>
  <cp:revision>6</cp:revision>
  <dcterms:created xsi:type="dcterms:W3CDTF">2024-04-11T11:23:00Z</dcterms:created>
  <dcterms:modified xsi:type="dcterms:W3CDTF">2024-04-12T03:17:00Z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1ea83a3611cc32d1f98d8d9bf9b810d2e67a877ba151d46ba7e6cf4ad75feb00</vt:lpwstr>
  </property>
</Properties>
</file>