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060E" w14:textId="7777777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50F29">
        <w:rPr>
          <w:rFonts w:ascii="Arial" w:hAnsi="Arial" w:cs="Arial"/>
          <w:b/>
          <w:color w:val="010000"/>
          <w:sz w:val="20"/>
        </w:rPr>
        <w:t>VIH: Annual General Mandate 2024</w:t>
      </w:r>
    </w:p>
    <w:p w14:paraId="5B041323" w14:textId="7777777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On April 05, 2024, Viglacera Ha Noi Joint Stock Company announced General Mandate No. 16/VIH-DHCD as follows:</w:t>
      </w:r>
    </w:p>
    <w:p w14:paraId="465F0D91" w14:textId="10BC1A5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Article 1: Approve the Financial Statements 2023 audited by AASC Auditing Firm Company Limited, </w:t>
      </w:r>
      <w:r w:rsidR="00D1056A" w:rsidRPr="00B50F29">
        <w:rPr>
          <w:rFonts w:ascii="Arial" w:hAnsi="Arial" w:cs="Arial"/>
          <w:color w:val="010000"/>
          <w:sz w:val="20"/>
        </w:rPr>
        <w:t xml:space="preserve">and </w:t>
      </w:r>
      <w:r w:rsidRPr="00B50F29">
        <w:rPr>
          <w:rFonts w:ascii="Arial" w:hAnsi="Arial" w:cs="Arial"/>
          <w:color w:val="010000"/>
          <w:sz w:val="20"/>
        </w:rPr>
        <w:t>the Report on production and business results in 2023 of the Board of Managers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7"/>
        <w:gridCol w:w="3360"/>
        <w:gridCol w:w="1721"/>
        <w:gridCol w:w="1057"/>
        <w:gridCol w:w="1059"/>
        <w:gridCol w:w="1143"/>
      </w:tblGrid>
      <w:tr w:rsidR="00182EE8" w:rsidRPr="00B50F29" w14:paraId="4A0B46AD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8441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862E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7BF4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265A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1B2F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BBA00" w14:textId="060ABABD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 xml:space="preserve">Comparison </w:t>
            </w:r>
            <w:r w:rsidR="00D1056A" w:rsidRPr="00B50F2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B50F29">
              <w:rPr>
                <w:rFonts w:ascii="Arial" w:hAnsi="Arial" w:cs="Arial"/>
                <w:color w:val="010000"/>
                <w:sz w:val="20"/>
              </w:rPr>
              <w:t>2023</w:t>
            </w:r>
            <w:r w:rsidR="00D1056A" w:rsidRPr="00B50F29">
              <w:rPr>
                <w:rFonts w:ascii="Arial" w:hAnsi="Arial" w:cs="Arial"/>
                <w:color w:val="010000"/>
                <w:sz w:val="20"/>
              </w:rPr>
              <w:t xml:space="preserve"> Results/Plan</w:t>
            </w:r>
            <w:r w:rsidRPr="00B50F29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182EE8" w:rsidRPr="00B50F29" w14:paraId="5F48552F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328E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5C9E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FEA3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99334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10D7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3,842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DF3A2" w14:textId="3670C79C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38</w:t>
            </w:r>
            <w:r w:rsidR="00D1056A" w:rsidRPr="00B50F29">
              <w:rPr>
                <w:rFonts w:ascii="Arial" w:hAnsi="Arial" w:cs="Arial"/>
                <w:color w:val="010000"/>
                <w:sz w:val="20"/>
              </w:rPr>
              <w:t>.4</w:t>
            </w:r>
          </w:p>
        </w:tc>
      </w:tr>
      <w:tr w:rsidR="00182EE8" w:rsidRPr="00B50F29" w14:paraId="558224A8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8C2E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78D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Basic depreciation of fixed assets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B281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F20C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24,700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A35C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23,524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D32C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95.2</w:t>
            </w:r>
          </w:p>
        </w:tc>
      </w:tr>
      <w:tr w:rsidR="00182EE8" w:rsidRPr="00B50F29" w14:paraId="1EBA6649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5209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F24D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5B8CD" w14:textId="508DF915" w:rsidR="00182EE8" w:rsidRPr="00B50F29" w:rsidRDefault="00D1056A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F891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395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BBBB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376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DD67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95.2</w:t>
            </w:r>
          </w:p>
        </w:tc>
      </w:tr>
      <w:tr w:rsidR="00182EE8" w:rsidRPr="00B50F29" w14:paraId="3F182B7E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2AF1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33A5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26F6D" w14:textId="13F8216D" w:rsidR="00182EE8" w:rsidRPr="00B50F29" w:rsidRDefault="00D1056A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Thousand VND/person/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month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9958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14,380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D36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13,334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C20E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92.7</w:t>
            </w:r>
          </w:p>
        </w:tc>
      </w:tr>
      <w:tr w:rsidR="00182EE8" w:rsidRPr="00B50F29" w14:paraId="1694837F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9634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37BB5" w14:textId="550B054C" w:rsidR="00182EE8" w:rsidRPr="00B50F29" w:rsidRDefault="00890665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Labor p</w:t>
            </w:r>
            <w:r w:rsidR="00D1056A" w:rsidRPr="00B50F29">
              <w:rPr>
                <w:rFonts w:ascii="Arial" w:hAnsi="Arial" w:cs="Arial"/>
                <w:color w:val="010000"/>
                <w:sz w:val="20"/>
              </w:rPr>
              <w:t>roductivity (Revenue/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person)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D9676" w14:textId="4A4011C6" w:rsidR="00182EE8" w:rsidRPr="00B50F29" w:rsidRDefault="00D1056A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/</w:t>
            </w:r>
            <w:r w:rsidRPr="00B50F29">
              <w:rPr>
                <w:rFonts w:ascii="Arial" w:hAnsi="Arial" w:cs="Arial"/>
                <w:color w:val="010000"/>
                <w:sz w:val="20"/>
              </w:rPr>
              <w:t>person/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month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2003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1,623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E0AA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1,485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C758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91.5</w:t>
            </w:r>
          </w:p>
        </w:tc>
      </w:tr>
      <w:tr w:rsidR="00182EE8" w:rsidRPr="00B50F29" w14:paraId="463A9A8A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56A5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E59B6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Receivables from customers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4727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8D0F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49BD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37,896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B95B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151.6</w:t>
            </w:r>
          </w:p>
        </w:tc>
      </w:tr>
      <w:tr w:rsidR="00182EE8" w:rsidRPr="00B50F29" w14:paraId="6658DE4A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787E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5BF1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Value of finished goods inventory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0160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A6B2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76,699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E8C9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91,404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5591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119.2</w:t>
            </w:r>
          </w:p>
        </w:tc>
      </w:tr>
      <w:tr w:rsidR="00182EE8" w:rsidRPr="00B50F29" w14:paraId="46A52E52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4A98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8886C" w14:textId="0A0B708C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 xml:space="preserve">Value of production and business </w:t>
            </w:r>
            <w:r w:rsidR="00890665" w:rsidRPr="00B50F29">
              <w:rPr>
                <w:rFonts w:ascii="Arial" w:hAnsi="Arial" w:cs="Arial"/>
                <w:color w:val="010000"/>
                <w:sz w:val="20"/>
              </w:rPr>
              <w:t>of goods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64BC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537F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640,200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15E3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573,757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9441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89.6</w:t>
            </w:r>
          </w:p>
        </w:tc>
      </w:tr>
      <w:tr w:rsidR="00182EE8" w:rsidRPr="00B50F29" w14:paraId="16D1AD27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EE594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A429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Revenue from main products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8B2C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F711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641,200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2F98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558,410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C101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87.1</w:t>
            </w:r>
          </w:p>
        </w:tc>
      </w:tr>
      <w:tr w:rsidR="00182EE8" w:rsidRPr="00B50F29" w14:paraId="16FFE5C4" w14:textId="77777777" w:rsidTr="000706EA">
        <w:tc>
          <w:tcPr>
            <w:tcW w:w="3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C7B8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A982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C8C1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6A8D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19,100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733C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16,497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9B7D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86.4</w:t>
            </w:r>
          </w:p>
        </w:tc>
      </w:tr>
    </w:tbl>
    <w:p w14:paraId="721E5E80" w14:textId="2639F8B0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‎‎Article 2. Approve the Report of the Board of Directors in 2023, </w:t>
      </w:r>
      <w:r w:rsidR="00890665" w:rsidRPr="00B50F29">
        <w:rPr>
          <w:rFonts w:ascii="Arial" w:hAnsi="Arial" w:cs="Arial"/>
          <w:color w:val="010000"/>
          <w:sz w:val="20"/>
        </w:rPr>
        <w:t>production and business orientation</w:t>
      </w:r>
      <w:r w:rsidRPr="00B50F29">
        <w:rPr>
          <w:rFonts w:ascii="Arial" w:hAnsi="Arial" w:cs="Arial"/>
          <w:color w:val="010000"/>
          <w:sz w:val="20"/>
        </w:rPr>
        <w:t xml:space="preserve"> in 2024; </w:t>
      </w:r>
      <w:r w:rsidR="00890665" w:rsidRPr="00B50F29">
        <w:rPr>
          <w:rFonts w:ascii="Arial" w:hAnsi="Arial" w:cs="Arial"/>
          <w:color w:val="010000"/>
          <w:sz w:val="20"/>
        </w:rPr>
        <w:t>p</w:t>
      </w:r>
      <w:r w:rsidRPr="00B50F29">
        <w:rPr>
          <w:rFonts w:ascii="Arial" w:hAnsi="Arial" w:cs="Arial"/>
          <w:color w:val="010000"/>
          <w:sz w:val="20"/>
        </w:rPr>
        <w:t>rofit distribution plan in 2023 as follows:</w:t>
      </w:r>
    </w:p>
    <w:p w14:paraId="121C4D96" w14:textId="593DF80B" w:rsidR="00182EE8" w:rsidRPr="00B50F29" w:rsidRDefault="00487A8E" w:rsidP="000706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Approve the </w:t>
      </w:r>
      <w:r w:rsidR="00890665" w:rsidRPr="00B50F29">
        <w:rPr>
          <w:rFonts w:ascii="Arial" w:hAnsi="Arial" w:cs="Arial"/>
          <w:color w:val="010000"/>
          <w:sz w:val="20"/>
        </w:rPr>
        <w:t>Report of the Board of Directors in 2023</w:t>
      </w:r>
      <w:r w:rsidRPr="00B50F29">
        <w:rPr>
          <w:rFonts w:ascii="Arial" w:hAnsi="Arial" w:cs="Arial"/>
          <w:color w:val="010000"/>
          <w:sz w:val="20"/>
        </w:rPr>
        <w:t xml:space="preserve"> and production and business orientation </w:t>
      </w:r>
      <w:r w:rsidR="00890665" w:rsidRPr="00B50F29">
        <w:rPr>
          <w:rFonts w:ascii="Arial" w:hAnsi="Arial" w:cs="Arial"/>
          <w:color w:val="010000"/>
          <w:sz w:val="20"/>
        </w:rPr>
        <w:t>in</w:t>
      </w:r>
      <w:r w:rsidRPr="00B50F29">
        <w:rPr>
          <w:rFonts w:ascii="Arial" w:hAnsi="Arial" w:cs="Arial"/>
          <w:color w:val="010000"/>
          <w:sz w:val="20"/>
        </w:rPr>
        <w:t xml:space="preserve"> 2024 (with detailed </w:t>
      </w:r>
      <w:r w:rsidR="00D37F60" w:rsidRPr="00B50F29">
        <w:rPr>
          <w:rFonts w:ascii="Arial" w:hAnsi="Arial" w:cs="Arial"/>
          <w:color w:val="010000"/>
          <w:sz w:val="20"/>
        </w:rPr>
        <w:t xml:space="preserve">Report </w:t>
      </w:r>
      <w:r w:rsidRPr="00B50F29">
        <w:rPr>
          <w:rFonts w:ascii="Arial" w:hAnsi="Arial" w:cs="Arial"/>
          <w:color w:val="010000"/>
          <w:sz w:val="20"/>
        </w:rPr>
        <w:t>attached)</w:t>
      </w:r>
    </w:p>
    <w:p w14:paraId="62D93B59" w14:textId="77777777" w:rsidR="00182EE8" w:rsidRPr="00B50F29" w:rsidRDefault="00487A8E" w:rsidP="000706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Plan on profit distribution in 2023: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7"/>
        <w:gridCol w:w="5502"/>
        <w:gridCol w:w="2498"/>
      </w:tblGrid>
      <w:tr w:rsidR="00182EE8" w:rsidRPr="00B50F29" w14:paraId="582FBB88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A69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1BFD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9F59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182EE8" w:rsidRPr="00B50F29" w14:paraId="4869AF67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A3F2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5807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EA2D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1,850,154,233</w:t>
            </w:r>
          </w:p>
        </w:tc>
      </w:tr>
      <w:tr w:rsidR="00182EE8" w:rsidRPr="00B50F29" w14:paraId="1BA0DB53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ADD2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3201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Undistributed profit after tax as of December 31, 2023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32D6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9,658,079,203</w:t>
            </w:r>
          </w:p>
        </w:tc>
      </w:tr>
      <w:tr w:rsidR="00182EE8" w:rsidRPr="00B50F29" w14:paraId="12B8B7E6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AC70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178F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Profit distribution in 2023: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B2C8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1,850,154,233</w:t>
            </w:r>
          </w:p>
        </w:tc>
      </w:tr>
      <w:tr w:rsidR="00182EE8" w:rsidRPr="00B50F29" w14:paraId="6B183EB2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3BF81" w14:textId="39619A02" w:rsidR="00182EE8" w:rsidRPr="00B50F29" w:rsidRDefault="00D37F60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6A69C" w14:textId="52E76929" w:rsidR="00182EE8" w:rsidRPr="00B50F29" w:rsidRDefault="00D37F60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R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 xml:space="preserve">emuneration </w:t>
            </w:r>
            <w:r w:rsidRPr="00B50F29">
              <w:rPr>
                <w:rFonts w:ascii="Arial" w:hAnsi="Arial" w:cs="Arial"/>
                <w:color w:val="010000"/>
                <w:sz w:val="20"/>
              </w:rPr>
              <w:t>for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 xml:space="preserve"> the Board of Directors (members</w:t>
            </w:r>
            <w:r w:rsidR="003613DF" w:rsidRPr="00B50F29">
              <w:rPr>
                <w:rFonts w:ascii="Arial" w:hAnsi="Arial" w:cs="Arial"/>
                <w:color w:val="010000"/>
                <w:sz w:val="20"/>
              </w:rPr>
              <w:t xml:space="preserve"> not </w:t>
            </w:r>
            <w:r w:rsidR="003613DF" w:rsidRPr="00B50F29">
              <w:rPr>
                <w:rFonts w:ascii="Arial" w:hAnsi="Arial" w:cs="Arial"/>
                <w:color w:val="010000"/>
                <w:sz w:val="20"/>
              </w:rPr>
              <w:lastRenderedPageBreak/>
              <w:t>directly operating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273F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lastRenderedPageBreak/>
              <w:t>134,400,000</w:t>
            </w:r>
          </w:p>
        </w:tc>
      </w:tr>
      <w:tr w:rsidR="00182EE8" w:rsidRPr="00B50F29" w14:paraId="4DC157CF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A1CB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B66A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ED36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35,754,233</w:t>
            </w:r>
          </w:p>
        </w:tc>
      </w:tr>
      <w:tr w:rsidR="00182EE8" w:rsidRPr="00B50F29" w14:paraId="5D0DAA88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272E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F8F98" w14:textId="1DBA5311" w:rsidR="00182EE8" w:rsidRPr="00B50F29" w:rsidRDefault="00D37F60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Dividend payment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 xml:space="preserve"> in cash at a rate of 3% of charter capital, expected to be paid in Q</w:t>
            </w:r>
            <w:r w:rsidRPr="00B50F29">
              <w:rPr>
                <w:rFonts w:ascii="Arial" w:hAnsi="Arial" w:cs="Arial"/>
                <w:color w:val="010000"/>
                <w:sz w:val="20"/>
              </w:rPr>
              <w:t>3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/2024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4751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1,680,000,000</w:t>
            </w:r>
          </w:p>
        </w:tc>
      </w:tr>
      <w:tr w:rsidR="00182EE8" w:rsidRPr="00B50F29" w14:paraId="6802D6B4" w14:textId="77777777" w:rsidTr="000706EA"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40AC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F8B2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Remaining undistributed profit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A3CF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7,807,924,970</w:t>
            </w:r>
          </w:p>
        </w:tc>
      </w:tr>
    </w:tbl>
    <w:p w14:paraId="4FF3AFF3" w14:textId="7777777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‎‎Article 3. Approve the Report on the management of production and business activities of the Supervisory Board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7"/>
        <w:gridCol w:w="4058"/>
        <w:gridCol w:w="932"/>
        <w:gridCol w:w="2990"/>
      </w:tblGrid>
      <w:tr w:rsidR="00182EE8" w:rsidRPr="00B50F29" w14:paraId="6561E457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1E11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4BA6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E9CE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58A2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</w:tr>
      <w:tr w:rsidR="00182EE8" w:rsidRPr="00B50F29" w14:paraId="4156165A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1C634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DA89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Production output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A3BE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m2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978A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7,907,764</w:t>
            </w:r>
          </w:p>
        </w:tc>
      </w:tr>
      <w:tr w:rsidR="00182EE8" w:rsidRPr="00B50F29" w14:paraId="49FA9DEB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44E5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D482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6BC84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AE97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561,349,028,059</w:t>
            </w:r>
          </w:p>
        </w:tc>
      </w:tr>
      <w:tr w:rsidR="00182EE8" w:rsidRPr="00B50F29" w14:paraId="1FECA81D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9229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14CCE" w14:textId="14197518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C5306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055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56,000,000,000</w:t>
            </w:r>
          </w:p>
        </w:tc>
      </w:tr>
      <w:tr w:rsidR="00182EE8" w:rsidRPr="00B50F29" w14:paraId="543C7DA9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A269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768B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80F1E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8A9F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16,496,771,794</w:t>
            </w:r>
          </w:p>
        </w:tc>
      </w:tr>
      <w:tr w:rsidR="00182EE8" w:rsidRPr="00B50F29" w14:paraId="670C7EE3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D8EF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27A04" w14:textId="08CF4CFF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 xml:space="preserve">Average income </w:t>
            </w:r>
            <w:r w:rsidRPr="00B50F29">
              <w:rPr>
                <w:rFonts w:ascii="Arial" w:hAnsi="Arial" w:cs="Arial"/>
                <w:color w:val="010000"/>
                <w:sz w:val="20"/>
              </w:rPr>
              <w:br/>
            </w:r>
            <w:r w:rsidR="00D37F60" w:rsidRPr="00B50F29">
              <w:rPr>
                <w:rFonts w:ascii="Arial" w:hAnsi="Arial" w:cs="Arial"/>
                <w:color w:val="010000"/>
                <w:sz w:val="20"/>
              </w:rPr>
              <w:t>p</w:t>
            </w:r>
            <w:r w:rsidRPr="00B50F29">
              <w:rPr>
                <w:rFonts w:ascii="Arial" w:hAnsi="Arial" w:cs="Arial"/>
                <w:color w:val="010000"/>
                <w:sz w:val="20"/>
              </w:rPr>
              <w:t>erson/month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FAE96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9A71B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13,334,192</w:t>
            </w:r>
          </w:p>
        </w:tc>
      </w:tr>
      <w:tr w:rsidR="00182EE8" w:rsidRPr="00B50F29" w14:paraId="6E5FD5DB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CC0A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6A52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Historical cost of fixed assets at the beginning of the period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97ECA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1CDC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500,072,373,472</w:t>
            </w:r>
          </w:p>
        </w:tc>
      </w:tr>
      <w:tr w:rsidR="00182EE8" w:rsidRPr="00B50F29" w14:paraId="3E65345C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C23D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82E40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Historical cost of fixed assets at the end of the period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30ED0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C18E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530,655,628,260</w:t>
            </w:r>
          </w:p>
        </w:tc>
      </w:tr>
      <w:tr w:rsidR="00182EE8" w:rsidRPr="00B50F29" w14:paraId="0EFC7794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6756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3C5C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Depreciation of fixed assets in the year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7C581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0A7A6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23,524,252,716</w:t>
            </w:r>
          </w:p>
        </w:tc>
      </w:tr>
      <w:tr w:rsidR="00182EE8" w:rsidRPr="00B50F29" w14:paraId="5457E69D" w14:textId="77777777" w:rsidTr="000706EA"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42E6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3E8E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A9919" w14:textId="77777777" w:rsidR="00182EE8" w:rsidRPr="00B50F29" w:rsidRDefault="00487A8E" w:rsidP="000706E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009E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1,850,154,233</w:t>
            </w:r>
          </w:p>
        </w:tc>
      </w:tr>
    </w:tbl>
    <w:p w14:paraId="4B36F8C4" w14:textId="306A5E09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Article 4: Approve the remuneration </w:t>
      </w:r>
      <w:r w:rsidR="00D37F60" w:rsidRPr="00B50F29">
        <w:rPr>
          <w:rFonts w:ascii="Arial" w:hAnsi="Arial" w:cs="Arial"/>
          <w:color w:val="010000"/>
          <w:sz w:val="20"/>
        </w:rPr>
        <w:t>for</w:t>
      </w:r>
      <w:r w:rsidRPr="00B50F29">
        <w:rPr>
          <w:rFonts w:ascii="Arial" w:hAnsi="Arial" w:cs="Arial"/>
          <w:color w:val="010000"/>
          <w:sz w:val="20"/>
        </w:rPr>
        <w:t xml:space="preserve"> the Board of Directors</w:t>
      </w:r>
      <w:r w:rsidR="00D37F60" w:rsidRPr="00B50F29">
        <w:rPr>
          <w:rFonts w:ascii="Arial" w:hAnsi="Arial" w:cs="Arial"/>
          <w:color w:val="010000"/>
          <w:sz w:val="20"/>
        </w:rPr>
        <w:t xml:space="preserve"> directly</w:t>
      </w:r>
      <w:r w:rsidRPr="00B50F29">
        <w:rPr>
          <w:rFonts w:ascii="Arial" w:hAnsi="Arial" w:cs="Arial"/>
          <w:color w:val="010000"/>
          <w:sz w:val="20"/>
        </w:rPr>
        <w:t xml:space="preserve"> participating the management activities and the Supervisory Board in 2023.</w:t>
      </w:r>
    </w:p>
    <w:p w14:paraId="16F247FB" w14:textId="7BA6414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According to regulation on managing representative No. 218/TCT-QDHDQT dated July 20, 2021 of Viglacera Corporation - JSC and the General Mandate dated March 30, 2023:</w:t>
      </w:r>
    </w:p>
    <w:p w14:paraId="67C01450" w14:textId="342341F8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Remuneration for the Board of Directors</w:t>
      </w:r>
      <w:r w:rsidR="00D37F60" w:rsidRPr="00B50F29">
        <w:rPr>
          <w:rFonts w:ascii="Arial" w:hAnsi="Arial" w:cs="Arial"/>
          <w:color w:val="010000"/>
          <w:sz w:val="20"/>
        </w:rPr>
        <w:t>:</w:t>
      </w:r>
      <w:r w:rsidRPr="00B50F29">
        <w:rPr>
          <w:rFonts w:ascii="Arial" w:hAnsi="Arial" w:cs="Arial"/>
          <w:color w:val="010000"/>
          <w:sz w:val="20"/>
        </w:rPr>
        <w:t xml:space="preserve"> VND 172,800,000</w:t>
      </w:r>
    </w:p>
    <w:p w14:paraId="4ED840BD" w14:textId="47A6A6A1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Remuneration for the Supervisory Board</w:t>
      </w:r>
      <w:r w:rsidR="00D37F60" w:rsidRPr="00B50F29">
        <w:rPr>
          <w:rFonts w:ascii="Arial" w:hAnsi="Arial" w:cs="Arial"/>
          <w:color w:val="010000"/>
          <w:sz w:val="20"/>
        </w:rPr>
        <w:t>:</w:t>
      </w:r>
      <w:r w:rsidRPr="00B50F29">
        <w:rPr>
          <w:rFonts w:ascii="Arial" w:hAnsi="Arial" w:cs="Arial"/>
          <w:color w:val="010000"/>
          <w:sz w:val="20"/>
        </w:rPr>
        <w:t xml:space="preserve"> VND 62,400,000</w:t>
      </w:r>
    </w:p>
    <w:p w14:paraId="59388047" w14:textId="1F3DCADD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Article 5: Approve the </w:t>
      </w:r>
      <w:r w:rsidR="00D37F60" w:rsidRPr="00B50F29">
        <w:rPr>
          <w:rFonts w:ascii="Arial" w:hAnsi="Arial" w:cs="Arial"/>
          <w:color w:val="010000"/>
          <w:sz w:val="20"/>
        </w:rPr>
        <w:t>production</w:t>
      </w:r>
      <w:r w:rsidRPr="00B50F29">
        <w:rPr>
          <w:rFonts w:ascii="Arial" w:hAnsi="Arial" w:cs="Arial"/>
          <w:color w:val="010000"/>
          <w:sz w:val="20"/>
        </w:rPr>
        <w:t>, business and investment plan for 2024 with the following contents:</w:t>
      </w:r>
    </w:p>
    <w:p w14:paraId="679E1A07" w14:textId="77777777" w:rsidR="00182EE8" w:rsidRPr="00B50F29" w:rsidRDefault="00487A8E" w:rsidP="000706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Production and business plan in 2024: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2"/>
        <w:gridCol w:w="3919"/>
        <w:gridCol w:w="1721"/>
        <w:gridCol w:w="2685"/>
      </w:tblGrid>
      <w:tr w:rsidR="00182EE8" w:rsidRPr="00B50F29" w14:paraId="0666A966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9708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E0FA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A7C9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B66E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182EE8" w:rsidRPr="00B50F29" w14:paraId="3E7AB4C4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D517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C4BC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3040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F57DE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</w:tr>
      <w:tr w:rsidR="00182EE8" w:rsidRPr="00B50F29" w14:paraId="53FD029F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5AA3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069E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Basic depreciation of fixed assets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BC644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20881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25,080</w:t>
            </w:r>
          </w:p>
        </w:tc>
      </w:tr>
      <w:tr w:rsidR="00182EE8" w:rsidRPr="00B50F29" w14:paraId="52A01EB8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A6BB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3698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56C6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persons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4CCC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374</w:t>
            </w:r>
          </w:p>
        </w:tc>
      </w:tr>
      <w:tr w:rsidR="00182EE8" w:rsidRPr="00B50F29" w14:paraId="292028F7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7566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B8EC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159CE" w14:textId="18D96EF6" w:rsidR="00182EE8" w:rsidRPr="00B50F29" w:rsidRDefault="00D37F60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Thousand VND/person/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month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F3B3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14,519</w:t>
            </w:r>
          </w:p>
        </w:tc>
      </w:tr>
      <w:tr w:rsidR="00182EE8" w:rsidRPr="00B50F29" w14:paraId="7D1CDB06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0601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398A7" w14:textId="6DB3DA7A" w:rsidR="00182EE8" w:rsidRPr="00B50F29" w:rsidRDefault="00D37F60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Labor productivity (Revenue/</w:t>
            </w:r>
            <w:r w:rsidR="00487A8E" w:rsidRPr="00B50F29">
              <w:rPr>
                <w:rFonts w:ascii="Arial" w:hAnsi="Arial" w:cs="Arial"/>
                <w:color w:val="010000"/>
                <w:sz w:val="20"/>
              </w:rPr>
              <w:t>person)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420A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VND/person/month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656C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1,488</w:t>
            </w:r>
          </w:p>
        </w:tc>
      </w:tr>
      <w:tr w:rsidR="00182EE8" w:rsidRPr="00B50F29" w14:paraId="4216AD72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B6C64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A11D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Receivables from customers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C4DC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1E83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30,820</w:t>
            </w:r>
          </w:p>
        </w:tc>
      </w:tr>
      <w:tr w:rsidR="00182EE8" w:rsidRPr="00B50F29" w14:paraId="594A0F61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8C6F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6597C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Value of finished goods inventory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3BCD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0794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89,354</w:t>
            </w:r>
          </w:p>
        </w:tc>
      </w:tr>
      <w:tr w:rsidR="00182EE8" w:rsidRPr="00B50F29" w14:paraId="2CF1BBB4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CF40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B5B36" w14:textId="4C90EC7A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 xml:space="preserve">Value of production and business </w:t>
            </w:r>
            <w:r w:rsidR="00D37F60" w:rsidRPr="00B50F29">
              <w:rPr>
                <w:rFonts w:ascii="Arial" w:hAnsi="Arial" w:cs="Arial"/>
                <w:color w:val="010000"/>
                <w:sz w:val="20"/>
              </w:rPr>
              <w:t>of goods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6DAD7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65B1A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556,548</w:t>
            </w:r>
          </w:p>
        </w:tc>
      </w:tr>
      <w:tr w:rsidR="00182EE8" w:rsidRPr="00B50F29" w14:paraId="2842B9CB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AB84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BD44F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Revenue from main products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C98BD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C73C8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555,823</w:t>
            </w:r>
          </w:p>
        </w:tc>
      </w:tr>
      <w:tr w:rsidR="00182EE8" w:rsidRPr="00B50F29" w14:paraId="107BA6FF" w14:textId="77777777" w:rsidTr="000706EA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E5739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4DB35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A4E42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8F0D3" w14:textId="77777777" w:rsidR="00182EE8" w:rsidRPr="00B50F29" w:rsidRDefault="00487A8E" w:rsidP="00070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50F29">
              <w:rPr>
                <w:rFonts w:ascii="Arial" w:hAnsi="Arial" w:cs="Arial"/>
                <w:color w:val="010000"/>
                <w:sz w:val="20"/>
              </w:rPr>
              <w:t>15,515</w:t>
            </w:r>
          </w:p>
        </w:tc>
      </w:tr>
    </w:tbl>
    <w:p w14:paraId="72C23E07" w14:textId="41756CDC" w:rsidR="00182EE8" w:rsidRPr="00B50F29" w:rsidRDefault="00487A8E" w:rsidP="000706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Expected remuneration </w:t>
      </w:r>
      <w:r w:rsidR="00D37F60" w:rsidRPr="00B50F29">
        <w:rPr>
          <w:rFonts w:ascii="Arial" w:hAnsi="Arial" w:cs="Arial"/>
          <w:color w:val="010000"/>
          <w:sz w:val="20"/>
        </w:rPr>
        <w:t>for</w:t>
      </w:r>
      <w:r w:rsidRPr="00B50F29">
        <w:rPr>
          <w:rFonts w:ascii="Arial" w:hAnsi="Arial" w:cs="Arial"/>
          <w:color w:val="010000"/>
          <w:sz w:val="20"/>
        </w:rPr>
        <w:t xml:space="preserve"> the Board of Directors and </w:t>
      </w:r>
      <w:r w:rsidR="00D37F60" w:rsidRPr="00B50F29">
        <w:rPr>
          <w:rFonts w:ascii="Arial" w:hAnsi="Arial" w:cs="Arial"/>
          <w:color w:val="010000"/>
          <w:sz w:val="20"/>
        </w:rPr>
        <w:t>the Supervisory Board, dividend</w:t>
      </w:r>
      <w:r w:rsidRPr="00B50F29">
        <w:rPr>
          <w:rFonts w:ascii="Arial" w:hAnsi="Arial" w:cs="Arial"/>
          <w:color w:val="010000"/>
          <w:sz w:val="20"/>
        </w:rPr>
        <w:t xml:space="preserve"> payment, bonus for the Executive Board in 2024:</w:t>
      </w:r>
    </w:p>
    <w:p w14:paraId="20D297FE" w14:textId="77777777" w:rsidR="00182EE8" w:rsidRPr="00B50F29" w:rsidRDefault="00487A8E" w:rsidP="000706EA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Expected remuneration for the Board of Directors, the Supervisory Board in 2024 as follows:</w:t>
      </w:r>
    </w:p>
    <w:p w14:paraId="4A1DB215" w14:textId="2EDD6E56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Remuneration of the Board of Directors for members of the State capita</w:t>
      </w:r>
      <w:bookmarkStart w:id="0" w:name="_GoBack"/>
      <w:bookmarkEnd w:id="0"/>
      <w:r w:rsidRPr="00B50F29">
        <w:rPr>
          <w:rFonts w:ascii="Arial" w:hAnsi="Arial" w:cs="Arial"/>
          <w:color w:val="010000"/>
          <w:sz w:val="20"/>
        </w:rPr>
        <w:t xml:space="preserve">l representative shall comply with the operating regulations of the authorized representative for the capital of </w:t>
      </w:r>
      <w:r w:rsidR="00D37F60" w:rsidRPr="00B50F29">
        <w:rPr>
          <w:rFonts w:ascii="Arial" w:hAnsi="Arial" w:cs="Arial"/>
          <w:color w:val="010000"/>
          <w:sz w:val="20"/>
        </w:rPr>
        <w:t xml:space="preserve">Viglacera Corporation - JSC </w:t>
      </w:r>
      <w:r w:rsidRPr="00B50F29">
        <w:rPr>
          <w:rFonts w:ascii="Arial" w:hAnsi="Arial" w:cs="Arial"/>
          <w:color w:val="010000"/>
          <w:sz w:val="20"/>
        </w:rPr>
        <w:t xml:space="preserve">investing in other enterprises, </w:t>
      </w:r>
      <w:r w:rsidR="00D37F60" w:rsidRPr="00B50F29">
        <w:rPr>
          <w:rFonts w:ascii="Arial" w:hAnsi="Arial" w:cs="Arial"/>
          <w:color w:val="010000"/>
          <w:sz w:val="20"/>
        </w:rPr>
        <w:t>promulgated</w:t>
      </w:r>
      <w:r w:rsidRPr="00B50F29">
        <w:rPr>
          <w:rFonts w:ascii="Arial" w:hAnsi="Arial" w:cs="Arial"/>
          <w:color w:val="010000"/>
          <w:sz w:val="20"/>
        </w:rPr>
        <w:t xml:space="preserve"> together with Decision No. 218/TCT-QDHDQT dated July 20, 2021 of the Board of Directors of the Corporation on promulgating the </w:t>
      </w:r>
      <w:r w:rsidR="00D37F60" w:rsidRPr="00B50F29">
        <w:rPr>
          <w:rFonts w:ascii="Arial" w:hAnsi="Arial" w:cs="Arial"/>
          <w:color w:val="010000"/>
          <w:sz w:val="20"/>
        </w:rPr>
        <w:t>operating r</w:t>
      </w:r>
      <w:r w:rsidRPr="00B50F29">
        <w:rPr>
          <w:rFonts w:ascii="Arial" w:hAnsi="Arial" w:cs="Arial"/>
          <w:color w:val="010000"/>
          <w:sz w:val="20"/>
        </w:rPr>
        <w:t xml:space="preserve">egulations of authorized representatives for the capital of </w:t>
      </w:r>
      <w:r w:rsidR="00D37F60" w:rsidRPr="00B50F29">
        <w:rPr>
          <w:rFonts w:ascii="Arial" w:hAnsi="Arial" w:cs="Arial"/>
          <w:color w:val="010000"/>
          <w:sz w:val="20"/>
        </w:rPr>
        <w:t xml:space="preserve">Viglacera Corporation - JSC </w:t>
      </w:r>
      <w:r w:rsidRPr="00B50F29">
        <w:rPr>
          <w:rFonts w:ascii="Arial" w:hAnsi="Arial" w:cs="Arial"/>
          <w:color w:val="010000"/>
          <w:sz w:val="20"/>
        </w:rPr>
        <w:t>invests in other Enterprises.</w:t>
      </w:r>
    </w:p>
    <w:p w14:paraId="70459C0E" w14:textId="7FDEA298" w:rsidR="00182EE8" w:rsidRPr="00B50F29" w:rsidRDefault="00487A8E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Chair of the Board of Directors</w:t>
      </w:r>
      <w:r w:rsidR="00D37F60" w:rsidRPr="00B50F29">
        <w:rPr>
          <w:rFonts w:ascii="Arial" w:hAnsi="Arial" w:cs="Arial"/>
          <w:color w:val="010000"/>
          <w:sz w:val="20"/>
        </w:rPr>
        <w:t>:</w:t>
      </w:r>
      <w:r w:rsidRPr="00B50F29">
        <w:rPr>
          <w:rFonts w:ascii="Arial" w:hAnsi="Arial" w:cs="Arial"/>
          <w:color w:val="010000"/>
          <w:sz w:val="20"/>
        </w:rPr>
        <w:t xml:space="preserve"> VND 15 million/person/quarter</w:t>
      </w:r>
    </w:p>
    <w:p w14:paraId="3980A96A" w14:textId="54C46FCC" w:rsidR="00182EE8" w:rsidRPr="00B50F29" w:rsidRDefault="00D37F60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M</w:t>
      </w:r>
      <w:r w:rsidR="00487A8E" w:rsidRPr="00B50F29">
        <w:rPr>
          <w:rFonts w:ascii="Arial" w:hAnsi="Arial" w:cs="Arial"/>
          <w:color w:val="010000"/>
          <w:sz w:val="20"/>
        </w:rPr>
        <w:t xml:space="preserve">ember of the Board of Directors as </w:t>
      </w:r>
      <w:r w:rsidR="000841B1" w:rsidRPr="00B50F29">
        <w:rPr>
          <w:rFonts w:ascii="Arial" w:hAnsi="Arial" w:cs="Arial"/>
          <w:color w:val="010000"/>
          <w:sz w:val="20"/>
        </w:rPr>
        <w:t>the</w:t>
      </w:r>
      <w:r w:rsidR="00487A8E" w:rsidRPr="00B50F29">
        <w:rPr>
          <w:rFonts w:ascii="Arial" w:hAnsi="Arial" w:cs="Arial"/>
          <w:color w:val="010000"/>
          <w:sz w:val="20"/>
        </w:rPr>
        <w:t xml:space="preserve"> Manager: VND 12 million/person/quarter</w:t>
      </w:r>
    </w:p>
    <w:p w14:paraId="17F029BE" w14:textId="145313BF" w:rsidR="00182EE8" w:rsidRPr="00B50F29" w:rsidRDefault="000841B1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O</w:t>
      </w:r>
      <w:r w:rsidR="00487A8E" w:rsidRPr="00B50F29">
        <w:rPr>
          <w:rFonts w:ascii="Arial" w:hAnsi="Arial" w:cs="Arial"/>
          <w:color w:val="010000"/>
          <w:sz w:val="20"/>
        </w:rPr>
        <w:t>ther members of the Board of Directors: VND 9 million/person/quarter</w:t>
      </w:r>
    </w:p>
    <w:p w14:paraId="737E1684" w14:textId="77777777" w:rsidR="00182EE8" w:rsidRPr="00B50F29" w:rsidRDefault="00487A8E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Chief of the Supervisory Board: VND 10.5 million/person/quarter</w:t>
      </w:r>
    </w:p>
    <w:p w14:paraId="4732C482" w14:textId="77777777" w:rsidR="00182EE8" w:rsidRPr="00B50F29" w:rsidRDefault="00487A8E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Member of the Supervisory Board: VND 4.5 million/person/quarter</w:t>
      </w:r>
    </w:p>
    <w:p w14:paraId="01A98121" w14:textId="77777777" w:rsidR="00182EE8" w:rsidRPr="00B50F29" w:rsidRDefault="00487A8E" w:rsidP="000706E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Expected dividend payment rate in 2024:</w:t>
      </w:r>
    </w:p>
    <w:p w14:paraId="5ECB708E" w14:textId="4BE1BC76" w:rsidR="00182EE8" w:rsidRPr="00B50F29" w:rsidRDefault="00487A8E" w:rsidP="00070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No dividend</w:t>
      </w:r>
      <w:r w:rsidR="000841B1" w:rsidRPr="00B50F29">
        <w:rPr>
          <w:rFonts w:ascii="Arial" w:hAnsi="Arial" w:cs="Arial"/>
          <w:color w:val="010000"/>
          <w:sz w:val="20"/>
        </w:rPr>
        <w:t xml:space="preserve"> payment</w:t>
      </w:r>
    </w:p>
    <w:p w14:paraId="3DA9DFD0" w14:textId="77777777" w:rsidR="00182EE8" w:rsidRPr="00B50F29" w:rsidRDefault="00487A8E" w:rsidP="000706E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Expected bonus for the Board of Directors and the Executive Board in 2024:</w:t>
      </w:r>
    </w:p>
    <w:p w14:paraId="38FC06E7" w14:textId="68EA9049" w:rsidR="00182EE8" w:rsidRPr="00B50F29" w:rsidRDefault="00487A8E" w:rsidP="00070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If the profit before tax in 2024 exceeds VND 1 billion, the Board of Directors and the Executive Board will be rewarded with 50%</w:t>
      </w:r>
      <w:r w:rsidR="000841B1" w:rsidRPr="00B50F29">
        <w:rPr>
          <w:rFonts w:ascii="Arial" w:hAnsi="Arial" w:cs="Arial"/>
          <w:color w:val="010000"/>
          <w:sz w:val="20"/>
        </w:rPr>
        <w:t xml:space="preserve"> of the excess profit after paying corporate income tax</w:t>
      </w:r>
    </w:p>
    <w:p w14:paraId="37A1ABAD" w14:textId="3162443B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Article 6:</w:t>
      </w:r>
      <w:r w:rsidR="000841B1" w:rsidRPr="00B50F29">
        <w:rPr>
          <w:rFonts w:ascii="Arial" w:hAnsi="Arial" w:cs="Arial"/>
          <w:color w:val="010000"/>
          <w:sz w:val="20"/>
        </w:rPr>
        <w:t xml:space="preserve"> Approve selling off </w:t>
      </w:r>
      <w:r w:rsidRPr="00B50F29">
        <w:rPr>
          <w:rFonts w:ascii="Arial" w:hAnsi="Arial" w:cs="Arial"/>
          <w:color w:val="010000"/>
          <w:sz w:val="20"/>
        </w:rPr>
        <w:t xml:space="preserve">the Company's products produced during the period to </w:t>
      </w:r>
      <w:r w:rsidR="000841B1" w:rsidRPr="00B50F29">
        <w:rPr>
          <w:rFonts w:ascii="Arial" w:hAnsi="Arial" w:cs="Arial"/>
          <w:color w:val="010000"/>
          <w:sz w:val="20"/>
        </w:rPr>
        <w:t>Viglacera Ceramic Tiles Trading Joint Stock Company</w:t>
      </w:r>
      <w:r w:rsidRPr="00B50F29">
        <w:rPr>
          <w:rFonts w:ascii="Arial" w:hAnsi="Arial" w:cs="Arial"/>
          <w:color w:val="010000"/>
          <w:sz w:val="20"/>
        </w:rPr>
        <w:t>, Viglacera Corporation - JSC to ensure compliance with the regulations at Point d, Clause 2</w:t>
      </w:r>
      <w:r w:rsidR="000841B1" w:rsidRPr="00B50F29">
        <w:rPr>
          <w:rFonts w:ascii="Arial" w:hAnsi="Arial" w:cs="Arial"/>
          <w:color w:val="010000"/>
          <w:sz w:val="20"/>
        </w:rPr>
        <w:t>,</w:t>
      </w:r>
      <w:r w:rsidRPr="00B50F29">
        <w:rPr>
          <w:rFonts w:ascii="Arial" w:hAnsi="Arial" w:cs="Arial"/>
          <w:color w:val="010000"/>
          <w:sz w:val="20"/>
        </w:rPr>
        <w:t xml:space="preserve"> Article 138</w:t>
      </w:r>
      <w:r w:rsidR="000841B1" w:rsidRPr="00B50F29">
        <w:rPr>
          <w:rFonts w:ascii="Arial" w:hAnsi="Arial" w:cs="Arial"/>
          <w:color w:val="010000"/>
          <w:sz w:val="20"/>
        </w:rPr>
        <w:t>,</w:t>
      </w:r>
      <w:r w:rsidRPr="00B50F29">
        <w:rPr>
          <w:rFonts w:ascii="Arial" w:hAnsi="Arial" w:cs="Arial"/>
          <w:color w:val="010000"/>
          <w:sz w:val="20"/>
        </w:rPr>
        <w:t xml:space="preserve"> Clause 1 and Clause 3, Article 167 of the </w:t>
      </w:r>
      <w:r w:rsidR="000841B1" w:rsidRPr="00B50F29">
        <w:rPr>
          <w:rFonts w:ascii="Arial" w:hAnsi="Arial" w:cs="Arial"/>
          <w:color w:val="010000"/>
          <w:sz w:val="20"/>
        </w:rPr>
        <w:t xml:space="preserve">Law </w:t>
      </w:r>
      <w:r w:rsidR="000841B1" w:rsidRPr="00B50F29">
        <w:rPr>
          <w:rFonts w:ascii="Arial" w:hAnsi="Arial" w:cs="Arial"/>
          <w:color w:val="010000"/>
          <w:sz w:val="20"/>
        </w:rPr>
        <w:t xml:space="preserve">on </w:t>
      </w:r>
      <w:r w:rsidRPr="00B50F29">
        <w:rPr>
          <w:rFonts w:ascii="Arial" w:hAnsi="Arial" w:cs="Arial"/>
          <w:color w:val="010000"/>
          <w:sz w:val="20"/>
        </w:rPr>
        <w:t>Enterprise</w:t>
      </w:r>
      <w:r w:rsidR="000841B1" w:rsidRPr="00B50F29">
        <w:rPr>
          <w:rFonts w:ascii="Arial" w:hAnsi="Arial" w:cs="Arial"/>
          <w:color w:val="010000"/>
          <w:sz w:val="20"/>
        </w:rPr>
        <w:t>s</w:t>
      </w:r>
      <w:r w:rsidRPr="00B50F29">
        <w:rPr>
          <w:rFonts w:ascii="Arial" w:hAnsi="Arial" w:cs="Arial"/>
          <w:color w:val="010000"/>
          <w:sz w:val="20"/>
        </w:rPr>
        <w:t xml:space="preserve"> and Clause 4, Article 293 of Decree 155/2020.</w:t>
      </w:r>
    </w:p>
    <w:p w14:paraId="5043EAEE" w14:textId="57A6DBE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lastRenderedPageBreak/>
        <w:t>Article 7: Authorize the Board of Directors and the Board of Managers to select</w:t>
      </w:r>
      <w:r w:rsidR="000841B1" w:rsidRPr="00B50F29">
        <w:rPr>
          <w:rFonts w:ascii="Arial" w:hAnsi="Arial" w:cs="Arial"/>
          <w:color w:val="010000"/>
          <w:sz w:val="20"/>
        </w:rPr>
        <w:t xml:space="preserve"> an</w:t>
      </w:r>
      <w:r w:rsidRPr="00B50F29">
        <w:rPr>
          <w:rFonts w:ascii="Arial" w:hAnsi="Arial" w:cs="Arial"/>
          <w:color w:val="010000"/>
          <w:sz w:val="20"/>
        </w:rPr>
        <w:t xml:space="preserve"> audit company named in the list of listed companies approved by the State Securities Commission according to the proposal of the Supervisory Board of the Company to review the Semi-annual Financial Statement</w:t>
      </w:r>
      <w:r w:rsidR="000841B1" w:rsidRPr="00B50F29">
        <w:rPr>
          <w:rFonts w:ascii="Arial" w:hAnsi="Arial" w:cs="Arial"/>
          <w:color w:val="010000"/>
          <w:sz w:val="20"/>
        </w:rPr>
        <w:t>s</w:t>
      </w:r>
      <w:r w:rsidRPr="00B50F29">
        <w:rPr>
          <w:rFonts w:ascii="Arial" w:hAnsi="Arial" w:cs="Arial"/>
          <w:color w:val="010000"/>
          <w:sz w:val="20"/>
        </w:rPr>
        <w:t xml:space="preserve"> and the Financial Statement</w:t>
      </w:r>
      <w:r w:rsidR="000841B1" w:rsidRPr="00B50F29">
        <w:rPr>
          <w:rFonts w:ascii="Arial" w:hAnsi="Arial" w:cs="Arial"/>
          <w:color w:val="010000"/>
          <w:sz w:val="20"/>
        </w:rPr>
        <w:t>s</w:t>
      </w:r>
      <w:r w:rsidRPr="00B50F29">
        <w:rPr>
          <w:rFonts w:ascii="Arial" w:hAnsi="Arial" w:cs="Arial"/>
          <w:color w:val="010000"/>
          <w:sz w:val="20"/>
        </w:rPr>
        <w:t xml:space="preserve"> 2024.</w:t>
      </w:r>
    </w:p>
    <w:p w14:paraId="5898998E" w14:textId="5F20480F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Article 8: Authorize the Board of Directors to amend and supplement the Company</w:t>
      </w:r>
      <w:r w:rsidR="000841B1" w:rsidRPr="00B50F29">
        <w:rPr>
          <w:rFonts w:ascii="Arial" w:hAnsi="Arial" w:cs="Arial"/>
          <w:color w:val="010000"/>
          <w:sz w:val="20"/>
        </w:rPr>
        <w:t>’s</w:t>
      </w:r>
      <w:r w:rsidRPr="00B50F29">
        <w:rPr>
          <w:rFonts w:ascii="Arial" w:hAnsi="Arial" w:cs="Arial"/>
          <w:color w:val="010000"/>
          <w:sz w:val="20"/>
        </w:rPr>
        <w:t xml:space="preserve"> Charter, </w:t>
      </w:r>
      <w:r w:rsidR="000841B1" w:rsidRPr="00B50F29">
        <w:rPr>
          <w:rFonts w:ascii="Arial" w:hAnsi="Arial" w:cs="Arial"/>
          <w:color w:val="010000"/>
          <w:sz w:val="20"/>
        </w:rPr>
        <w:t>Internal Regulations on Corporate Governance, Operating</w:t>
      </w:r>
      <w:r w:rsidRPr="00B50F29">
        <w:rPr>
          <w:rFonts w:ascii="Arial" w:hAnsi="Arial" w:cs="Arial"/>
          <w:color w:val="010000"/>
          <w:sz w:val="20"/>
        </w:rPr>
        <w:t xml:space="preserve"> Regulations of the Board of Directors and authorize the Supervisory Board to am</w:t>
      </w:r>
      <w:r w:rsidR="003613DF" w:rsidRPr="00B50F29">
        <w:rPr>
          <w:rFonts w:ascii="Arial" w:hAnsi="Arial" w:cs="Arial"/>
          <w:color w:val="010000"/>
          <w:sz w:val="20"/>
        </w:rPr>
        <w:t xml:space="preserve">end, supplement the Operating Regulations </w:t>
      </w:r>
      <w:r w:rsidRPr="00B50F29">
        <w:rPr>
          <w:rFonts w:ascii="Arial" w:hAnsi="Arial" w:cs="Arial"/>
          <w:color w:val="010000"/>
          <w:sz w:val="20"/>
        </w:rPr>
        <w:t>of the Supervisory Board in accordance with reality according to the provisions of law.</w:t>
      </w:r>
    </w:p>
    <w:p w14:paraId="7147C868" w14:textId="77777777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(Detailed draft attached).</w:t>
      </w:r>
    </w:p>
    <w:p w14:paraId="69E0263B" w14:textId="107C78C7" w:rsidR="00182EE8" w:rsidRPr="00B50F29" w:rsidRDefault="00487A8E" w:rsidP="000706E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Article 9: </w:t>
      </w:r>
      <w:r w:rsidR="003613DF" w:rsidRPr="00B50F29">
        <w:rPr>
          <w:rFonts w:ascii="Arial" w:hAnsi="Arial" w:cs="Arial"/>
          <w:color w:val="010000"/>
          <w:sz w:val="20"/>
        </w:rPr>
        <w:t>Approve t</w:t>
      </w:r>
      <w:r w:rsidRPr="00B50F29">
        <w:rPr>
          <w:rFonts w:ascii="Arial" w:hAnsi="Arial" w:cs="Arial"/>
          <w:color w:val="010000"/>
          <w:sz w:val="20"/>
        </w:rPr>
        <w:t>he General Me</w:t>
      </w:r>
      <w:r w:rsidR="003613DF" w:rsidRPr="00B50F29">
        <w:rPr>
          <w:rFonts w:ascii="Arial" w:hAnsi="Arial" w:cs="Arial"/>
          <w:color w:val="010000"/>
          <w:sz w:val="20"/>
        </w:rPr>
        <w:t>eting of Shareholders authorizing</w:t>
      </w:r>
      <w:r w:rsidRPr="00B50F29">
        <w:rPr>
          <w:rFonts w:ascii="Arial" w:hAnsi="Arial" w:cs="Arial"/>
          <w:color w:val="010000"/>
          <w:sz w:val="20"/>
        </w:rPr>
        <w:t>:</w:t>
      </w:r>
    </w:p>
    <w:p w14:paraId="5727875D" w14:textId="08D367E5" w:rsidR="00182EE8" w:rsidRPr="00B50F29" w:rsidRDefault="00487A8E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Authorize the Board of Directors</w:t>
      </w:r>
      <w:r w:rsidR="003613DF" w:rsidRPr="00B50F29">
        <w:rPr>
          <w:rFonts w:ascii="Arial" w:hAnsi="Arial" w:cs="Arial"/>
          <w:color w:val="010000"/>
          <w:sz w:val="20"/>
        </w:rPr>
        <w:t>,</w:t>
      </w:r>
      <w:r w:rsidRPr="00B50F29">
        <w:rPr>
          <w:rFonts w:ascii="Arial" w:hAnsi="Arial" w:cs="Arial"/>
          <w:color w:val="010000"/>
          <w:sz w:val="20"/>
        </w:rPr>
        <w:t xml:space="preserve"> </w:t>
      </w:r>
      <w:r w:rsidR="003613DF" w:rsidRPr="00B50F29">
        <w:rPr>
          <w:rFonts w:ascii="Arial" w:hAnsi="Arial" w:cs="Arial"/>
          <w:color w:val="010000"/>
          <w:sz w:val="20"/>
        </w:rPr>
        <w:t>t</w:t>
      </w:r>
      <w:r w:rsidRPr="00B50F29">
        <w:rPr>
          <w:rFonts w:ascii="Arial" w:hAnsi="Arial" w:cs="Arial"/>
          <w:color w:val="010000"/>
          <w:sz w:val="20"/>
        </w:rPr>
        <w:t xml:space="preserve">he Board of </w:t>
      </w:r>
      <w:r w:rsidR="003613DF" w:rsidRPr="00B50F29">
        <w:rPr>
          <w:rFonts w:ascii="Arial" w:hAnsi="Arial" w:cs="Arial"/>
          <w:color w:val="010000"/>
          <w:sz w:val="20"/>
        </w:rPr>
        <w:t>Managers</w:t>
      </w:r>
      <w:r w:rsidRPr="00B50F29">
        <w:rPr>
          <w:rFonts w:ascii="Arial" w:hAnsi="Arial" w:cs="Arial"/>
          <w:color w:val="010000"/>
          <w:sz w:val="20"/>
        </w:rPr>
        <w:t xml:space="preserve"> has full authority to decide on the approval and settlement of investment capital for major repairs, periodic maintenance, </w:t>
      </w:r>
      <w:r w:rsidR="003613DF" w:rsidRPr="00B50F29">
        <w:rPr>
          <w:rFonts w:ascii="Arial" w:hAnsi="Arial" w:cs="Arial"/>
          <w:color w:val="010000"/>
          <w:sz w:val="20"/>
        </w:rPr>
        <w:t xml:space="preserve">and </w:t>
      </w:r>
      <w:r w:rsidRPr="00B50F29">
        <w:rPr>
          <w:rFonts w:ascii="Arial" w:hAnsi="Arial" w:cs="Arial"/>
          <w:color w:val="010000"/>
          <w:sz w:val="20"/>
        </w:rPr>
        <w:t>liquidation of fixed assets and unused supplies to recover capital within the authority of the Board of Directors and the Board of Managers stipulated in the Company's Charter.</w:t>
      </w:r>
    </w:p>
    <w:p w14:paraId="2280E423" w14:textId="77777777" w:rsidR="00182EE8" w:rsidRPr="00B50F29" w:rsidRDefault="00487A8E" w:rsidP="00070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Authorize the Board of Directors of the Company to list VIH shares on the HNX stock exchange when eligible.</w:t>
      </w:r>
    </w:p>
    <w:p w14:paraId="45BCD507" w14:textId="314568A0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Article 10: Information disclosure</w:t>
      </w:r>
      <w:r w:rsidR="003613DF" w:rsidRPr="00B50F29">
        <w:rPr>
          <w:rFonts w:ascii="Arial" w:hAnsi="Arial" w:cs="Arial"/>
          <w:color w:val="010000"/>
          <w:sz w:val="20"/>
        </w:rPr>
        <w:t>:</w:t>
      </w:r>
      <w:r w:rsidRPr="00B50F29">
        <w:rPr>
          <w:rFonts w:ascii="Arial" w:hAnsi="Arial" w:cs="Arial"/>
          <w:color w:val="010000"/>
          <w:sz w:val="20"/>
        </w:rPr>
        <w:t xml:space="preserve"> Information on the production and business activities of the Company is posted on: http://www.viglacerahanoi.com.vn</w:t>
      </w:r>
    </w:p>
    <w:p w14:paraId="78453DDD" w14:textId="345918DA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 xml:space="preserve">Article 11: The General </w:t>
      </w:r>
      <w:r w:rsidR="003613DF" w:rsidRPr="00B50F29">
        <w:rPr>
          <w:rFonts w:ascii="Arial" w:hAnsi="Arial" w:cs="Arial"/>
          <w:color w:val="010000"/>
          <w:sz w:val="20"/>
        </w:rPr>
        <w:t>Meeting of Shareholders assigns</w:t>
      </w:r>
      <w:r w:rsidRPr="00B50F29">
        <w:rPr>
          <w:rFonts w:ascii="Arial" w:hAnsi="Arial" w:cs="Arial"/>
          <w:color w:val="010000"/>
          <w:sz w:val="20"/>
        </w:rPr>
        <w:t xml:space="preserve"> the Board of Directors and the Supervisory Board to implement the contents of the above General Mandate and report the results to the next General Meeting of Shareholders.</w:t>
      </w:r>
    </w:p>
    <w:p w14:paraId="13633CB3" w14:textId="2FE62ABD" w:rsidR="00182EE8" w:rsidRPr="00B50F29" w:rsidRDefault="00487A8E" w:rsidP="000706E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50F29">
        <w:rPr>
          <w:rFonts w:ascii="Arial" w:hAnsi="Arial" w:cs="Arial"/>
          <w:color w:val="010000"/>
          <w:sz w:val="20"/>
        </w:rPr>
        <w:t>This General Mandate was approved</w:t>
      </w:r>
      <w:r w:rsidR="000706EA" w:rsidRPr="00B50F29">
        <w:rPr>
          <w:rFonts w:ascii="Arial" w:hAnsi="Arial" w:cs="Arial"/>
          <w:color w:val="010000"/>
          <w:sz w:val="20"/>
        </w:rPr>
        <w:t xml:space="preserve"> in full</w:t>
      </w:r>
      <w:r w:rsidRPr="00B50F29">
        <w:rPr>
          <w:rFonts w:ascii="Arial" w:hAnsi="Arial" w:cs="Arial"/>
          <w:color w:val="010000"/>
          <w:sz w:val="20"/>
        </w:rPr>
        <w:t xml:space="preserve"> by the Annual General Meeting of Shareholders 2024 of Viglacera Ha Noi Joint Stock Company</w:t>
      </w:r>
      <w:r w:rsidR="003613DF" w:rsidRPr="00B50F29">
        <w:rPr>
          <w:rFonts w:ascii="Arial" w:hAnsi="Arial" w:cs="Arial"/>
          <w:color w:val="010000"/>
          <w:sz w:val="20"/>
        </w:rPr>
        <w:t>.</w:t>
      </w:r>
      <w:r w:rsidRPr="00B50F29">
        <w:rPr>
          <w:rFonts w:ascii="Arial" w:hAnsi="Arial" w:cs="Arial"/>
          <w:color w:val="010000"/>
          <w:sz w:val="20"/>
        </w:rPr>
        <w:t xml:space="preserve"> The Board of Directors</w:t>
      </w:r>
      <w:r w:rsidR="003613DF" w:rsidRPr="00B50F29">
        <w:rPr>
          <w:rFonts w:ascii="Arial" w:hAnsi="Arial" w:cs="Arial"/>
          <w:color w:val="010000"/>
          <w:sz w:val="20"/>
        </w:rPr>
        <w:t xml:space="preserve"> implements</w:t>
      </w:r>
      <w:r w:rsidRPr="00B50F29">
        <w:rPr>
          <w:rFonts w:ascii="Arial" w:hAnsi="Arial" w:cs="Arial"/>
          <w:color w:val="010000"/>
          <w:sz w:val="20"/>
        </w:rPr>
        <w:t xml:space="preserve"> </w:t>
      </w:r>
      <w:r w:rsidR="003613DF" w:rsidRPr="00B50F29">
        <w:rPr>
          <w:rFonts w:ascii="Arial" w:hAnsi="Arial" w:cs="Arial"/>
          <w:color w:val="010000"/>
          <w:sz w:val="20"/>
        </w:rPr>
        <w:t>based</w:t>
      </w:r>
      <w:r w:rsidRPr="00B50F29">
        <w:rPr>
          <w:rFonts w:ascii="Arial" w:hAnsi="Arial" w:cs="Arial"/>
          <w:color w:val="010000"/>
          <w:sz w:val="20"/>
        </w:rPr>
        <w:t xml:space="preserve"> on the contents of this General Mandate.</w:t>
      </w:r>
    </w:p>
    <w:sectPr w:rsidR="00182EE8" w:rsidRPr="00B50F29" w:rsidSect="000706E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511F"/>
    <w:multiLevelType w:val="multilevel"/>
    <w:tmpl w:val="9B047ED6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6F63975"/>
    <w:multiLevelType w:val="multilevel"/>
    <w:tmpl w:val="E0B2BE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56F1D"/>
    <w:multiLevelType w:val="multilevel"/>
    <w:tmpl w:val="15688E72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7DF16FD"/>
    <w:multiLevelType w:val="multilevel"/>
    <w:tmpl w:val="53A207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796BE2"/>
    <w:multiLevelType w:val="multilevel"/>
    <w:tmpl w:val="3D623A08"/>
    <w:lvl w:ilvl="0">
      <w:start w:val="2"/>
      <w:numFmt w:val="decimal"/>
      <w:lvlText w:val="5.2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E8"/>
    <w:rsid w:val="000706EA"/>
    <w:rsid w:val="000841B1"/>
    <w:rsid w:val="00182EE8"/>
    <w:rsid w:val="003613DF"/>
    <w:rsid w:val="00487A8E"/>
    <w:rsid w:val="00890665"/>
    <w:rsid w:val="00B50F29"/>
    <w:rsid w:val="00D1056A"/>
    <w:rsid w:val="00D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795BC"/>
  <w15:docId w15:val="{2CDE1280-F002-4D55-90A6-F07A8E0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spacing w:line="329" w:lineRule="auto"/>
      <w:ind w:firstLine="6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firstLine="4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2+d7PtNqZ6cc9pLt/ldYjOrefQ==">CgMxLjA4AHIhMWVxTXk5MlNndVc1UUJ1eF84ZU0wckRteThaSEZpczIy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1107</Words>
  <Characters>6069</Characters>
  <Application>Microsoft Office Word</Application>
  <DocSecurity>0</DocSecurity>
  <Lines>263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2024-04-10T09:56:00Z</dcterms:created>
  <dcterms:modified xsi:type="dcterms:W3CDTF">2024-04-11T09:47:00Z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168d706875e0fc35d7054061933edbac70091ce001bcb6aee883bcdbe5e6961a</vt:lpwstr>
  </property>
</Properties>
</file>