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715FA" w14:textId="2A524C2E" w:rsidR="00894E26" w:rsidRPr="001D618C" w:rsidRDefault="00AD7B14" w:rsidP="00AD7B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IDP: Explanation on</w:t>
      </w:r>
      <w:r w:rsidR="001D618C" w:rsidRPr="001D618C">
        <w:rPr>
          <w:rFonts w:ascii="Arial" w:hAnsi="Arial" w:cs="Arial"/>
          <w:b/>
          <w:color w:val="010000"/>
          <w:sz w:val="20"/>
        </w:rPr>
        <w:t xml:space="preserve"> 10% difference in profit after tax - Consolidated Financial Statements 2023</w:t>
      </w:r>
    </w:p>
    <w:p w14:paraId="31A2E4B3" w14:textId="2368AF82" w:rsidR="00894E26" w:rsidRPr="001D618C" w:rsidRDefault="001D618C" w:rsidP="00AD7B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618C">
        <w:rPr>
          <w:rFonts w:ascii="Arial" w:hAnsi="Arial" w:cs="Arial"/>
          <w:color w:val="010000"/>
          <w:sz w:val="20"/>
        </w:rPr>
        <w:t xml:space="preserve">On March 20, 2024, International Dairy Products Joint Stock Company announced Official Dispatch No. 2023/3001/IDP on explaining of 10% difference in profit after tax </w:t>
      </w:r>
      <w:r w:rsidR="00AD7B14">
        <w:rPr>
          <w:rFonts w:ascii="Arial" w:hAnsi="Arial" w:cs="Arial"/>
          <w:color w:val="010000"/>
          <w:sz w:val="20"/>
        </w:rPr>
        <w:t>year-on-</w:t>
      </w:r>
      <w:r w:rsidRPr="001D618C">
        <w:rPr>
          <w:rFonts w:ascii="Arial" w:hAnsi="Arial" w:cs="Arial"/>
          <w:color w:val="010000"/>
          <w:sz w:val="20"/>
        </w:rPr>
        <w:t>year as follows:</w:t>
      </w:r>
    </w:p>
    <w:p w14:paraId="512C6870" w14:textId="6F89B7B4" w:rsidR="00894E26" w:rsidRPr="001D618C" w:rsidRDefault="001D618C" w:rsidP="00AD7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618C">
        <w:rPr>
          <w:rFonts w:ascii="Arial" w:hAnsi="Arial" w:cs="Arial"/>
          <w:color w:val="010000"/>
          <w:sz w:val="20"/>
        </w:rPr>
        <w:t xml:space="preserve">Based on figures of the Financial Statements 2023, we would like to explain some fluctuations in the Report on production and business results </w:t>
      </w:r>
      <w:r w:rsidR="00AD7B14">
        <w:rPr>
          <w:rFonts w:ascii="Arial" w:hAnsi="Arial" w:cs="Arial"/>
          <w:color w:val="010000"/>
          <w:sz w:val="20"/>
        </w:rPr>
        <w:t>year-on-year</w:t>
      </w:r>
      <w:r w:rsidRPr="001D618C">
        <w:rPr>
          <w:rFonts w:ascii="Arial" w:hAnsi="Arial" w:cs="Arial"/>
          <w:color w:val="010000"/>
          <w:sz w:val="20"/>
        </w:rPr>
        <w:t xml:space="preserve"> as follows:</w:t>
      </w:r>
    </w:p>
    <w:p w14:paraId="2FAF807B" w14:textId="77777777" w:rsidR="00894E26" w:rsidRPr="001D618C" w:rsidRDefault="001D618C" w:rsidP="00AD7B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618C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8"/>
        <w:gridCol w:w="3628"/>
        <w:gridCol w:w="2344"/>
        <w:gridCol w:w="2427"/>
      </w:tblGrid>
      <w:tr w:rsidR="00894E26" w:rsidRPr="001D618C" w14:paraId="3D561F5B" w14:textId="77777777" w:rsidTr="001D618C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0C8D2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50DD6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093CC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This year</w:t>
            </w: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2D6C4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Last year</w:t>
            </w:r>
          </w:p>
        </w:tc>
      </w:tr>
      <w:tr w:rsidR="00894E26" w:rsidRPr="001D618C" w14:paraId="29613139" w14:textId="77777777" w:rsidTr="001D618C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DAD2B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90C8F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39DCC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6,654,651,998,605</w:t>
            </w: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95867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6,086,460,009,894</w:t>
            </w:r>
          </w:p>
        </w:tc>
      </w:tr>
      <w:tr w:rsidR="00894E26" w:rsidRPr="001D618C" w14:paraId="2FB7A8DF" w14:textId="77777777" w:rsidTr="001D618C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A2E54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FFF17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A067F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3,948,078,479,478</w:t>
            </w: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81AC3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3,723,452 630,577</w:t>
            </w:r>
          </w:p>
        </w:tc>
      </w:tr>
      <w:tr w:rsidR="00894E26" w:rsidRPr="001D618C" w14:paraId="52277CA3" w14:textId="77777777" w:rsidTr="001D618C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63A92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1B86C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CE8B7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146,161,730,151</w:t>
            </w: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89A62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101,406,608,178</w:t>
            </w:r>
          </w:p>
        </w:tc>
      </w:tr>
      <w:tr w:rsidR="00894E26" w:rsidRPr="001D618C" w14:paraId="08C26720" w14:textId="77777777" w:rsidTr="001D618C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56DA7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C83D9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AF00E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59,218,268,566</w:t>
            </w: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802DB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57,301,311,403</w:t>
            </w:r>
          </w:p>
        </w:tc>
      </w:tr>
      <w:tr w:rsidR="00894E26" w:rsidRPr="001D618C" w14:paraId="0E4EBF49" w14:textId="77777777" w:rsidTr="001D618C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AE8C1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FFB72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Selling expenses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E1B42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1,450,803,925,742</w:t>
            </w: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87A76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1,281,925,844,465</w:t>
            </w:r>
          </w:p>
        </w:tc>
      </w:tr>
      <w:tr w:rsidR="00894E26" w:rsidRPr="001D618C" w14:paraId="0D121CB5" w14:textId="77777777" w:rsidTr="001D618C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D12C1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58201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General and administrative expenses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93EFF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177,355,221,031</w:t>
            </w: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2A649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134,341,917,282</w:t>
            </w:r>
          </w:p>
        </w:tc>
      </w:tr>
      <w:tr w:rsidR="00894E26" w:rsidRPr="001D618C" w14:paraId="12B33AC1" w14:textId="77777777" w:rsidTr="001D618C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40B99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0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D96C4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DC128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924,356,856,921</w:t>
            </w:r>
          </w:p>
        </w:tc>
        <w:tc>
          <w:tcPr>
            <w:tcW w:w="1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80135" w14:textId="77777777" w:rsidR="00894E26" w:rsidRPr="001D618C" w:rsidRDefault="001D618C" w:rsidP="00AD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618C">
              <w:rPr>
                <w:rFonts w:ascii="Arial" w:hAnsi="Arial" w:cs="Arial"/>
                <w:color w:val="010000"/>
                <w:sz w:val="20"/>
              </w:rPr>
              <w:t>810,483,236,184</w:t>
            </w:r>
          </w:p>
        </w:tc>
      </w:tr>
    </w:tbl>
    <w:p w14:paraId="6D7DBE7E" w14:textId="47A4AAD2" w:rsidR="00894E26" w:rsidRPr="001D618C" w:rsidRDefault="001D618C" w:rsidP="00AD7B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618C">
        <w:rPr>
          <w:rFonts w:ascii="Arial" w:hAnsi="Arial" w:cs="Arial"/>
          <w:color w:val="010000"/>
          <w:sz w:val="20"/>
        </w:rPr>
        <w:t xml:space="preserve">According to the consolidated business results report of International Dairy Products Joint Stock Company, profit after tax in 2023 reached VND 924 billion, an increase of 14.05% </w:t>
      </w:r>
      <w:r w:rsidR="00AD7B14">
        <w:rPr>
          <w:rFonts w:ascii="Arial" w:hAnsi="Arial" w:cs="Arial"/>
          <w:color w:val="010000"/>
          <w:sz w:val="20"/>
        </w:rPr>
        <w:t>year-on-</w:t>
      </w:r>
      <w:r w:rsidRPr="001D618C">
        <w:rPr>
          <w:rFonts w:ascii="Arial" w:hAnsi="Arial" w:cs="Arial"/>
          <w:color w:val="010000"/>
          <w:sz w:val="20"/>
        </w:rPr>
        <w:t xml:space="preserve">year. Profit increased mainly due to: </w:t>
      </w:r>
      <w:bookmarkStart w:id="0" w:name="_GoBack"/>
      <w:bookmarkEnd w:id="0"/>
    </w:p>
    <w:p w14:paraId="0C01C690" w14:textId="77777777" w:rsidR="00894E26" w:rsidRPr="001D618C" w:rsidRDefault="001D618C" w:rsidP="00AD7B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618C">
        <w:rPr>
          <w:rFonts w:ascii="Arial" w:hAnsi="Arial" w:cs="Arial"/>
          <w:color w:val="010000"/>
          <w:sz w:val="20"/>
        </w:rPr>
        <w:t>Net revenue in 2023 increased by 9.34%, equivalent to VND 568 billion but the cost of goods sold increased by only 6% due to the reduction of the input material prices;</w:t>
      </w:r>
    </w:p>
    <w:p w14:paraId="3B2B38C9" w14:textId="77777777" w:rsidR="00894E26" w:rsidRPr="001D618C" w:rsidRDefault="001D618C" w:rsidP="00AD7B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618C">
        <w:rPr>
          <w:rFonts w:ascii="Arial" w:hAnsi="Arial" w:cs="Arial"/>
          <w:color w:val="010000"/>
          <w:sz w:val="20"/>
        </w:rPr>
        <w:t>The difference in financial revenue and financial expenses compared to that in the same period in 2022.</w:t>
      </w:r>
    </w:p>
    <w:sectPr w:rsidR="00894E26" w:rsidRPr="001D618C" w:rsidSect="001D618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63B"/>
    <w:multiLevelType w:val="multilevel"/>
    <w:tmpl w:val="FC0AC9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BA1207"/>
    <w:multiLevelType w:val="multilevel"/>
    <w:tmpl w:val="B23ADF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26"/>
    <w:rsid w:val="001D618C"/>
    <w:rsid w:val="00894E26"/>
    <w:rsid w:val="00AD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1255F"/>
  <w15:docId w15:val="{57289161-ED27-49F8-A9FC-0B8904F4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YwETW1i/QOLQLtIWaA5LTg0p6w==">CgMxLjA4AHIhMUhxVjFTOWwzTmZraFRwbkxOUE5ZU0pmMjVxNEhGOWhs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2024-04-15T03:54:00Z</dcterms:created>
  <dcterms:modified xsi:type="dcterms:W3CDTF">2024-04-15T03:54:00Z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814589513a53b7dd66708179b358b6ab0a0f97f5d59fb1cba88cb573a57cba70</vt:lpwstr>
  </property>
</Properties>
</file>