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3DC0E"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56146">
        <w:rPr>
          <w:rFonts w:ascii="Arial" w:hAnsi="Arial" w:cs="Arial"/>
          <w:b/>
          <w:color w:val="010000"/>
          <w:sz w:val="20"/>
        </w:rPr>
        <w:t>TSG: Annual General Mandate 2024</w:t>
      </w:r>
    </w:p>
    <w:p w14:paraId="242DEAD7" w14:textId="5EA07A72"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On April 09, 2024, </w:t>
      </w:r>
      <w:proofErr w:type="spellStart"/>
      <w:r w:rsidRPr="00C56146">
        <w:rPr>
          <w:rFonts w:ascii="Arial" w:hAnsi="Arial" w:cs="Arial"/>
          <w:color w:val="010000"/>
          <w:sz w:val="20"/>
        </w:rPr>
        <w:t>Sai</w:t>
      </w:r>
      <w:proofErr w:type="spellEnd"/>
      <w:r w:rsidRPr="00C56146">
        <w:rPr>
          <w:rFonts w:ascii="Arial" w:hAnsi="Arial" w:cs="Arial"/>
          <w:color w:val="010000"/>
          <w:sz w:val="20"/>
        </w:rPr>
        <w:t xml:space="preserve"> </w:t>
      </w:r>
      <w:proofErr w:type="spellStart"/>
      <w:r w:rsidRPr="00C56146">
        <w:rPr>
          <w:rFonts w:ascii="Arial" w:hAnsi="Arial" w:cs="Arial"/>
          <w:color w:val="010000"/>
          <w:sz w:val="20"/>
        </w:rPr>
        <w:t>Gon</w:t>
      </w:r>
      <w:proofErr w:type="spellEnd"/>
      <w:r w:rsidRPr="00C56146">
        <w:rPr>
          <w:rFonts w:ascii="Arial" w:hAnsi="Arial" w:cs="Arial"/>
          <w:color w:val="010000"/>
          <w:sz w:val="20"/>
        </w:rPr>
        <w:t xml:space="preserve"> Railway of Telecommunication- Signalization Joint Stock Company announced General Mandate No. 15/NQ-DHDCD, as follows</w:t>
      </w:r>
      <w:r w:rsidR="008C3060">
        <w:rPr>
          <w:rFonts w:ascii="Arial" w:hAnsi="Arial" w:cs="Arial"/>
          <w:color w:val="010000"/>
          <w:sz w:val="20"/>
        </w:rPr>
        <w:t>:</w:t>
      </w:r>
    </w:p>
    <w:p w14:paraId="10970736"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1.</w:t>
      </w:r>
      <w:proofErr w:type="gramEnd"/>
      <w:r w:rsidRPr="00C56146">
        <w:rPr>
          <w:rFonts w:ascii="Arial" w:hAnsi="Arial" w:cs="Arial"/>
          <w:color w:val="010000"/>
          <w:sz w:val="20"/>
        </w:rPr>
        <w:t xml:space="preserve"> Approve the Report on production and business results in 2023 and the production and business plan 2024. Main targets are as follows:</w:t>
      </w:r>
    </w:p>
    <w:p w14:paraId="0CFC5293" w14:textId="77777777" w:rsidR="00DB7C78" w:rsidRPr="00C56146" w:rsidRDefault="005052B6" w:rsidP="001D483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Unit: Billion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6"/>
        <w:gridCol w:w="3935"/>
        <w:gridCol w:w="2151"/>
        <w:gridCol w:w="2045"/>
      </w:tblGrid>
      <w:tr w:rsidR="00DB7C78" w:rsidRPr="00C56146" w14:paraId="03BB00A0" w14:textId="77777777" w:rsidTr="00C56146">
        <w:tc>
          <w:tcPr>
            <w:tcW w:w="506" w:type="pct"/>
            <w:shd w:val="clear" w:color="auto" w:fill="auto"/>
            <w:tcMar>
              <w:top w:w="0" w:type="dxa"/>
              <w:bottom w:w="0" w:type="dxa"/>
            </w:tcMar>
            <w:vAlign w:val="center"/>
          </w:tcPr>
          <w:p w14:paraId="46F88E78"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No.</w:t>
            </w:r>
          </w:p>
        </w:tc>
        <w:tc>
          <w:tcPr>
            <w:tcW w:w="2175" w:type="pct"/>
            <w:shd w:val="clear" w:color="auto" w:fill="auto"/>
            <w:tcMar>
              <w:top w:w="0" w:type="dxa"/>
              <w:bottom w:w="0" w:type="dxa"/>
            </w:tcMar>
            <w:vAlign w:val="center"/>
          </w:tcPr>
          <w:p w14:paraId="487E6CDB"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Targets</w:t>
            </w:r>
          </w:p>
        </w:tc>
        <w:tc>
          <w:tcPr>
            <w:tcW w:w="1189" w:type="pct"/>
            <w:shd w:val="clear" w:color="auto" w:fill="auto"/>
            <w:tcMar>
              <w:top w:w="0" w:type="dxa"/>
              <w:bottom w:w="0" w:type="dxa"/>
            </w:tcMar>
            <w:vAlign w:val="center"/>
          </w:tcPr>
          <w:p w14:paraId="3522F08A"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2023 Results</w:t>
            </w:r>
          </w:p>
        </w:tc>
        <w:tc>
          <w:tcPr>
            <w:tcW w:w="1130" w:type="pct"/>
            <w:shd w:val="clear" w:color="auto" w:fill="auto"/>
            <w:tcMar>
              <w:top w:w="0" w:type="dxa"/>
              <w:bottom w:w="0" w:type="dxa"/>
            </w:tcMar>
            <w:vAlign w:val="center"/>
          </w:tcPr>
          <w:p w14:paraId="1872B5F4"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2024 Plan</w:t>
            </w:r>
          </w:p>
        </w:tc>
      </w:tr>
      <w:tr w:rsidR="00DB7C78" w:rsidRPr="00C56146" w14:paraId="49AE0B64" w14:textId="77777777" w:rsidTr="00C56146">
        <w:tc>
          <w:tcPr>
            <w:tcW w:w="506" w:type="pct"/>
            <w:shd w:val="clear" w:color="auto" w:fill="auto"/>
            <w:tcMar>
              <w:top w:w="0" w:type="dxa"/>
              <w:bottom w:w="0" w:type="dxa"/>
            </w:tcMar>
            <w:vAlign w:val="center"/>
          </w:tcPr>
          <w:p w14:paraId="3813A955"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1</w:t>
            </w:r>
          </w:p>
        </w:tc>
        <w:tc>
          <w:tcPr>
            <w:tcW w:w="2175" w:type="pct"/>
            <w:shd w:val="clear" w:color="auto" w:fill="auto"/>
            <w:tcMar>
              <w:top w:w="0" w:type="dxa"/>
              <w:bottom w:w="0" w:type="dxa"/>
            </w:tcMar>
            <w:vAlign w:val="center"/>
          </w:tcPr>
          <w:p w14:paraId="6553E5FD"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revenue</w:t>
            </w:r>
          </w:p>
        </w:tc>
        <w:tc>
          <w:tcPr>
            <w:tcW w:w="1189" w:type="pct"/>
            <w:shd w:val="clear" w:color="auto" w:fill="auto"/>
            <w:tcMar>
              <w:top w:w="0" w:type="dxa"/>
              <w:bottom w:w="0" w:type="dxa"/>
            </w:tcMar>
            <w:vAlign w:val="center"/>
          </w:tcPr>
          <w:p w14:paraId="5EAAF905"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241,788</w:t>
            </w:r>
          </w:p>
        </w:tc>
        <w:tc>
          <w:tcPr>
            <w:tcW w:w="1130" w:type="pct"/>
            <w:shd w:val="clear" w:color="auto" w:fill="auto"/>
            <w:tcMar>
              <w:top w:w="0" w:type="dxa"/>
              <w:bottom w:w="0" w:type="dxa"/>
            </w:tcMar>
            <w:vAlign w:val="center"/>
          </w:tcPr>
          <w:p w14:paraId="6020140C"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160,550</w:t>
            </w:r>
          </w:p>
        </w:tc>
      </w:tr>
      <w:tr w:rsidR="00DB7C78" w:rsidRPr="00C56146" w14:paraId="35FB01C6" w14:textId="77777777" w:rsidTr="00C56146">
        <w:tc>
          <w:tcPr>
            <w:tcW w:w="506" w:type="pct"/>
            <w:shd w:val="clear" w:color="auto" w:fill="auto"/>
            <w:tcMar>
              <w:top w:w="0" w:type="dxa"/>
              <w:bottom w:w="0" w:type="dxa"/>
            </w:tcMar>
            <w:vAlign w:val="center"/>
          </w:tcPr>
          <w:p w14:paraId="34F7DEE9"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175" w:type="pct"/>
            <w:shd w:val="clear" w:color="auto" w:fill="auto"/>
            <w:tcMar>
              <w:top w:w="0" w:type="dxa"/>
              <w:bottom w:w="0" w:type="dxa"/>
            </w:tcMar>
            <w:vAlign w:val="center"/>
          </w:tcPr>
          <w:p w14:paraId="242F537C"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Regular maintenance revenue</w:t>
            </w:r>
          </w:p>
        </w:tc>
        <w:tc>
          <w:tcPr>
            <w:tcW w:w="1189" w:type="pct"/>
            <w:shd w:val="clear" w:color="auto" w:fill="auto"/>
            <w:tcMar>
              <w:top w:w="0" w:type="dxa"/>
              <w:bottom w:w="0" w:type="dxa"/>
            </w:tcMar>
            <w:vAlign w:val="center"/>
          </w:tcPr>
          <w:p w14:paraId="46A2706C"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129,638</w:t>
            </w:r>
          </w:p>
        </w:tc>
        <w:tc>
          <w:tcPr>
            <w:tcW w:w="1130" w:type="pct"/>
            <w:shd w:val="clear" w:color="auto" w:fill="auto"/>
            <w:tcMar>
              <w:top w:w="0" w:type="dxa"/>
              <w:bottom w:w="0" w:type="dxa"/>
            </w:tcMar>
            <w:vAlign w:val="center"/>
          </w:tcPr>
          <w:p w14:paraId="60BFB7CC"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139,000</w:t>
            </w:r>
          </w:p>
        </w:tc>
      </w:tr>
      <w:tr w:rsidR="00DB7C78" w:rsidRPr="00C56146" w14:paraId="71B0325D" w14:textId="77777777" w:rsidTr="00C56146">
        <w:tc>
          <w:tcPr>
            <w:tcW w:w="506" w:type="pct"/>
            <w:shd w:val="clear" w:color="auto" w:fill="auto"/>
            <w:tcMar>
              <w:top w:w="0" w:type="dxa"/>
              <w:bottom w:w="0" w:type="dxa"/>
            </w:tcMar>
            <w:vAlign w:val="center"/>
          </w:tcPr>
          <w:p w14:paraId="797FDBA6"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175" w:type="pct"/>
            <w:shd w:val="clear" w:color="auto" w:fill="auto"/>
            <w:tcMar>
              <w:top w:w="0" w:type="dxa"/>
              <w:bottom w:w="0" w:type="dxa"/>
            </w:tcMar>
            <w:vAlign w:val="center"/>
          </w:tcPr>
          <w:p w14:paraId="391A5D86"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Non-public revenue</w:t>
            </w:r>
          </w:p>
        </w:tc>
        <w:tc>
          <w:tcPr>
            <w:tcW w:w="1189" w:type="pct"/>
            <w:shd w:val="clear" w:color="auto" w:fill="auto"/>
            <w:tcMar>
              <w:top w:w="0" w:type="dxa"/>
              <w:bottom w:w="0" w:type="dxa"/>
            </w:tcMar>
            <w:vAlign w:val="center"/>
          </w:tcPr>
          <w:p w14:paraId="4382BF03"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112,150</w:t>
            </w:r>
          </w:p>
        </w:tc>
        <w:tc>
          <w:tcPr>
            <w:tcW w:w="1130" w:type="pct"/>
            <w:shd w:val="clear" w:color="auto" w:fill="auto"/>
            <w:tcMar>
              <w:top w:w="0" w:type="dxa"/>
              <w:bottom w:w="0" w:type="dxa"/>
            </w:tcMar>
            <w:vAlign w:val="center"/>
          </w:tcPr>
          <w:p w14:paraId="09E6AE0F"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21,550</w:t>
            </w:r>
          </w:p>
        </w:tc>
      </w:tr>
      <w:tr w:rsidR="00DB7C78" w:rsidRPr="00C56146" w14:paraId="1BEAD2A1" w14:textId="77777777" w:rsidTr="00C56146">
        <w:tc>
          <w:tcPr>
            <w:tcW w:w="506" w:type="pct"/>
            <w:shd w:val="clear" w:color="auto" w:fill="auto"/>
            <w:tcMar>
              <w:top w:w="0" w:type="dxa"/>
              <w:bottom w:w="0" w:type="dxa"/>
            </w:tcMar>
            <w:vAlign w:val="center"/>
          </w:tcPr>
          <w:p w14:paraId="0F890D7A"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w:t>
            </w:r>
          </w:p>
        </w:tc>
        <w:tc>
          <w:tcPr>
            <w:tcW w:w="2175" w:type="pct"/>
            <w:shd w:val="clear" w:color="auto" w:fill="auto"/>
            <w:tcMar>
              <w:top w:w="0" w:type="dxa"/>
              <w:bottom w:w="0" w:type="dxa"/>
            </w:tcMar>
            <w:vAlign w:val="center"/>
          </w:tcPr>
          <w:p w14:paraId="17D6C62F"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Profit</w:t>
            </w:r>
          </w:p>
        </w:tc>
        <w:tc>
          <w:tcPr>
            <w:tcW w:w="1189" w:type="pct"/>
            <w:shd w:val="clear" w:color="auto" w:fill="auto"/>
            <w:tcMar>
              <w:top w:w="0" w:type="dxa"/>
              <w:bottom w:w="0" w:type="dxa"/>
            </w:tcMar>
            <w:vAlign w:val="center"/>
          </w:tcPr>
          <w:p w14:paraId="257DA9C8" w14:textId="77777777" w:rsidR="00DB7C78" w:rsidRPr="00C56146" w:rsidRDefault="00DB7C78" w:rsidP="00C56146">
            <w:pPr>
              <w:tabs>
                <w:tab w:val="left" w:pos="432"/>
              </w:tabs>
              <w:spacing w:after="120" w:line="360" w:lineRule="auto"/>
              <w:jc w:val="right"/>
              <w:rPr>
                <w:rFonts w:ascii="Arial" w:eastAsia="Arial" w:hAnsi="Arial" w:cs="Arial"/>
                <w:color w:val="010000"/>
                <w:sz w:val="20"/>
                <w:szCs w:val="20"/>
              </w:rPr>
            </w:pPr>
          </w:p>
        </w:tc>
        <w:tc>
          <w:tcPr>
            <w:tcW w:w="1130" w:type="pct"/>
            <w:shd w:val="clear" w:color="auto" w:fill="auto"/>
            <w:tcMar>
              <w:top w:w="0" w:type="dxa"/>
              <w:bottom w:w="0" w:type="dxa"/>
            </w:tcMar>
            <w:vAlign w:val="center"/>
          </w:tcPr>
          <w:p w14:paraId="60E713AE" w14:textId="77777777" w:rsidR="00DB7C78" w:rsidRPr="00C56146" w:rsidRDefault="00DB7C78" w:rsidP="00C56146">
            <w:pPr>
              <w:tabs>
                <w:tab w:val="left" w:pos="432"/>
              </w:tabs>
              <w:spacing w:after="120" w:line="360" w:lineRule="auto"/>
              <w:jc w:val="right"/>
              <w:rPr>
                <w:rFonts w:ascii="Arial" w:eastAsia="Arial" w:hAnsi="Arial" w:cs="Arial"/>
                <w:color w:val="010000"/>
                <w:sz w:val="20"/>
                <w:szCs w:val="20"/>
              </w:rPr>
            </w:pPr>
          </w:p>
        </w:tc>
      </w:tr>
      <w:tr w:rsidR="00DB7C78" w:rsidRPr="00C56146" w14:paraId="37BAD9D1" w14:textId="77777777" w:rsidTr="00C56146">
        <w:tc>
          <w:tcPr>
            <w:tcW w:w="506" w:type="pct"/>
            <w:shd w:val="clear" w:color="auto" w:fill="auto"/>
            <w:tcMar>
              <w:top w:w="0" w:type="dxa"/>
              <w:bottom w:w="0" w:type="dxa"/>
            </w:tcMar>
            <w:vAlign w:val="center"/>
          </w:tcPr>
          <w:p w14:paraId="1A9F2ADB"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175" w:type="pct"/>
            <w:shd w:val="clear" w:color="auto" w:fill="auto"/>
            <w:tcMar>
              <w:top w:w="0" w:type="dxa"/>
              <w:bottom w:w="0" w:type="dxa"/>
            </w:tcMar>
            <w:vAlign w:val="center"/>
          </w:tcPr>
          <w:p w14:paraId="673BC828"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Profit before tax</w:t>
            </w:r>
          </w:p>
        </w:tc>
        <w:tc>
          <w:tcPr>
            <w:tcW w:w="1189" w:type="pct"/>
            <w:shd w:val="clear" w:color="auto" w:fill="auto"/>
            <w:tcMar>
              <w:top w:w="0" w:type="dxa"/>
              <w:bottom w:w="0" w:type="dxa"/>
            </w:tcMar>
            <w:vAlign w:val="center"/>
          </w:tcPr>
          <w:p w14:paraId="7B7A9400"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8,689</w:t>
            </w:r>
          </w:p>
        </w:tc>
        <w:tc>
          <w:tcPr>
            <w:tcW w:w="1130" w:type="pct"/>
            <w:shd w:val="clear" w:color="auto" w:fill="auto"/>
            <w:tcMar>
              <w:top w:w="0" w:type="dxa"/>
              <w:bottom w:w="0" w:type="dxa"/>
            </w:tcMar>
            <w:vAlign w:val="center"/>
          </w:tcPr>
          <w:p w14:paraId="288CAC4D"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8,316</w:t>
            </w:r>
          </w:p>
        </w:tc>
      </w:tr>
      <w:tr w:rsidR="00DB7C78" w:rsidRPr="00C56146" w14:paraId="0125000E" w14:textId="77777777" w:rsidTr="00C56146">
        <w:tc>
          <w:tcPr>
            <w:tcW w:w="506" w:type="pct"/>
            <w:shd w:val="clear" w:color="auto" w:fill="auto"/>
            <w:tcMar>
              <w:top w:w="0" w:type="dxa"/>
              <w:bottom w:w="0" w:type="dxa"/>
            </w:tcMar>
            <w:vAlign w:val="center"/>
          </w:tcPr>
          <w:p w14:paraId="16430A95"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175" w:type="pct"/>
            <w:shd w:val="clear" w:color="auto" w:fill="auto"/>
            <w:tcMar>
              <w:top w:w="0" w:type="dxa"/>
              <w:bottom w:w="0" w:type="dxa"/>
            </w:tcMar>
            <w:vAlign w:val="center"/>
          </w:tcPr>
          <w:p w14:paraId="24F9BFEF"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Profit after tax</w:t>
            </w:r>
          </w:p>
        </w:tc>
        <w:tc>
          <w:tcPr>
            <w:tcW w:w="1189" w:type="pct"/>
            <w:shd w:val="clear" w:color="auto" w:fill="auto"/>
            <w:tcMar>
              <w:top w:w="0" w:type="dxa"/>
              <w:bottom w:w="0" w:type="dxa"/>
            </w:tcMar>
            <w:vAlign w:val="center"/>
          </w:tcPr>
          <w:p w14:paraId="1C450A72"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6,653</w:t>
            </w:r>
          </w:p>
        </w:tc>
        <w:tc>
          <w:tcPr>
            <w:tcW w:w="1130" w:type="pct"/>
            <w:shd w:val="clear" w:color="auto" w:fill="auto"/>
            <w:tcMar>
              <w:top w:w="0" w:type="dxa"/>
              <w:bottom w:w="0" w:type="dxa"/>
            </w:tcMar>
            <w:vAlign w:val="center"/>
          </w:tcPr>
          <w:p w14:paraId="1FAE69FE"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6,653</w:t>
            </w:r>
          </w:p>
        </w:tc>
      </w:tr>
    </w:tbl>
    <w:p w14:paraId="037FD735"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The General Meeting of Shareholders authorizes the Board of Directors to:</w:t>
      </w:r>
    </w:p>
    <w:p w14:paraId="5A6FAF9F" w14:textId="77777777" w:rsidR="00DB7C78" w:rsidRPr="00C56146" w:rsidRDefault="005052B6" w:rsidP="001D483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146">
        <w:rPr>
          <w:rFonts w:ascii="Arial" w:hAnsi="Arial" w:cs="Arial"/>
          <w:color w:val="010000"/>
          <w:sz w:val="20"/>
        </w:rPr>
        <w:t>Direct the implementation of the production and business plan 2024 approved by the Meeting.</w:t>
      </w:r>
    </w:p>
    <w:p w14:paraId="09B141E9" w14:textId="77777777" w:rsidR="00DB7C78" w:rsidRPr="00C56146" w:rsidRDefault="005052B6" w:rsidP="001D483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6146">
        <w:rPr>
          <w:rFonts w:ascii="Arial" w:hAnsi="Arial" w:cs="Arial"/>
          <w:color w:val="010000"/>
          <w:sz w:val="20"/>
        </w:rPr>
        <w:t>Decide to adjust the targets of production, business and financial plan when necessary and appropriate.</w:t>
      </w:r>
    </w:p>
    <w:p w14:paraId="703A4562"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Article 2: Approve the Report of the Board of Directors.</w:t>
      </w:r>
    </w:p>
    <w:p w14:paraId="0684B438"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Article 3: Approve the Report of the Supervisory Board</w:t>
      </w:r>
    </w:p>
    <w:p w14:paraId="2C028650" w14:textId="4158F98C"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Article 4: Approve the Financial Statements 2023 audited by </w:t>
      </w:r>
      <w:proofErr w:type="spellStart"/>
      <w:r w:rsidRPr="00C56146">
        <w:rPr>
          <w:rFonts w:ascii="Arial" w:hAnsi="Arial" w:cs="Arial"/>
          <w:color w:val="010000"/>
          <w:sz w:val="20"/>
        </w:rPr>
        <w:t>Nhan</w:t>
      </w:r>
      <w:proofErr w:type="spellEnd"/>
      <w:r w:rsidRPr="00C56146">
        <w:rPr>
          <w:rFonts w:ascii="Arial" w:hAnsi="Arial" w:cs="Arial"/>
          <w:color w:val="010000"/>
          <w:sz w:val="20"/>
        </w:rPr>
        <w:t xml:space="preserve"> Tam Viet Auditing Company Limited (according to the Proposal of Meeting)</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1"/>
        <w:gridCol w:w="5101"/>
        <w:gridCol w:w="2685"/>
      </w:tblGrid>
      <w:tr w:rsidR="00DB7C78" w:rsidRPr="00C56146" w14:paraId="41658AAC" w14:textId="77777777" w:rsidTr="00C56146">
        <w:tc>
          <w:tcPr>
            <w:tcW w:w="697" w:type="pct"/>
            <w:shd w:val="clear" w:color="auto" w:fill="auto"/>
            <w:tcMar>
              <w:top w:w="0" w:type="dxa"/>
              <w:bottom w:w="0" w:type="dxa"/>
            </w:tcMar>
            <w:vAlign w:val="center"/>
          </w:tcPr>
          <w:p w14:paraId="77E766DA"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No.</w:t>
            </w:r>
          </w:p>
        </w:tc>
        <w:tc>
          <w:tcPr>
            <w:tcW w:w="2819" w:type="pct"/>
            <w:shd w:val="clear" w:color="auto" w:fill="auto"/>
            <w:tcMar>
              <w:top w:w="0" w:type="dxa"/>
              <w:bottom w:w="0" w:type="dxa"/>
            </w:tcMar>
            <w:vAlign w:val="center"/>
          </w:tcPr>
          <w:p w14:paraId="0361B774"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Target</w:t>
            </w:r>
          </w:p>
        </w:tc>
        <w:tc>
          <w:tcPr>
            <w:tcW w:w="1484" w:type="pct"/>
            <w:shd w:val="clear" w:color="auto" w:fill="auto"/>
            <w:tcMar>
              <w:top w:w="0" w:type="dxa"/>
              <w:bottom w:w="0" w:type="dxa"/>
            </w:tcMar>
            <w:vAlign w:val="center"/>
          </w:tcPr>
          <w:p w14:paraId="56C7932A"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Amount (VND)</w:t>
            </w:r>
          </w:p>
        </w:tc>
      </w:tr>
      <w:tr w:rsidR="00DB7C78" w:rsidRPr="00C56146" w14:paraId="494F81EA" w14:textId="77777777" w:rsidTr="00C56146">
        <w:tc>
          <w:tcPr>
            <w:tcW w:w="697" w:type="pct"/>
            <w:shd w:val="clear" w:color="auto" w:fill="auto"/>
            <w:tcMar>
              <w:top w:w="0" w:type="dxa"/>
              <w:bottom w:w="0" w:type="dxa"/>
            </w:tcMar>
            <w:vAlign w:val="center"/>
          </w:tcPr>
          <w:p w14:paraId="6F85CF35"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1</w:t>
            </w:r>
          </w:p>
        </w:tc>
        <w:tc>
          <w:tcPr>
            <w:tcW w:w="2819" w:type="pct"/>
            <w:shd w:val="clear" w:color="auto" w:fill="auto"/>
            <w:tcMar>
              <w:top w:w="0" w:type="dxa"/>
              <w:bottom w:w="0" w:type="dxa"/>
            </w:tcMar>
            <w:vAlign w:val="center"/>
          </w:tcPr>
          <w:p w14:paraId="7B6B2594"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assets</w:t>
            </w:r>
          </w:p>
        </w:tc>
        <w:tc>
          <w:tcPr>
            <w:tcW w:w="1484" w:type="pct"/>
            <w:shd w:val="clear" w:color="auto" w:fill="auto"/>
            <w:tcMar>
              <w:top w:w="0" w:type="dxa"/>
              <w:bottom w:w="0" w:type="dxa"/>
            </w:tcMar>
            <w:vAlign w:val="center"/>
          </w:tcPr>
          <w:p w14:paraId="588D8C62"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153,579,357,748</w:t>
            </w:r>
          </w:p>
        </w:tc>
      </w:tr>
      <w:tr w:rsidR="00DB7C78" w:rsidRPr="00C56146" w14:paraId="4156472C" w14:textId="77777777" w:rsidTr="00C56146">
        <w:tc>
          <w:tcPr>
            <w:tcW w:w="697" w:type="pct"/>
            <w:shd w:val="clear" w:color="auto" w:fill="auto"/>
            <w:tcMar>
              <w:top w:w="0" w:type="dxa"/>
              <w:bottom w:w="0" w:type="dxa"/>
            </w:tcMar>
            <w:vAlign w:val="center"/>
          </w:tcPr>
          <w:p w14:paraId="0A37C095"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w:t>
            </w:r>
          </w:p>
        </w:tc>
        <w:tc>
          <w:tcPr>
            <w:tcW w:w="2819" w:type="pct"/>
            <w:shd w:val="clear" w:color="auto" w:fill="auto"/>
            <w:tcMar>
              <w:top w:w="0" w:type="dxa"/>
              <w:bottom w:w="0" w:type="dxa"/>
            </w:tcMar>
            <w:vAlign w:val="center"/>
          </w:tcPr>
          <w:p w14:paraId="17E3CE0D"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Payables</w:t>
            </w:r>
          </w:p>
        </w:tc>
        <w:tc>
          <w:tcPr>
            <w:tcW w:w="1484" w:type="pct"/>
            <w:shd w:val="clear" w:color="auto" w:fill="auto"/>
            <w:tcMar>
              <w:top w:w="0" w:type="dxa"/>
              <w:bottom w:w="0" w:type="dxa"/>
            </w:tcMar>
            <w:vAlign w:val="center"/>
          </w:tcPr>
          <w:p w14:paraId="19648BDC"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111,796,744,593</w:t>
            </w:r>
          </w:p>
        </w:tc>
      </w:tr>
      <w:tr w:rsidR="00DB7C78" w:rsidRPr="00C56146" w14:paraId="23BF03AB" w14:textId="77777777" w:rsidTr="00C56146">
        <w:tc>
          <w:tcPr>
            <w:tcW w:w="697" w:type="pct"/>
            <w:shd w:val="clear" w:color="auto" w:fill="auto"/>
            <w:tcMar>
              <w:top w:w="0" w:type="dxa"/>
              <w:bottom w:w="0" w:type="dxa"/>
            </w:tcMar>
            <w:vAlign w:val="center"/>
          </w:tcPr>
          <w:p w14:paraId="25F52B11"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3</w:t>
            </w:r>
          </w:p>
        </w:tc>
        <w:tc>
          <w:tcPr>
            <w:tcW w:w="2819" w:type="pct"/>
            <w:shd w:val="clear" w:color="auto" w:fill="auto"/>
            <w:tcMar>
              <w:top w:w="0" w:type="dxa"/>
              <w:bottom w:w="0" w:type="dxa"/>
            </w:tcMar>
            <w:vAlign w:val="center"/>
          </w:tcPr>
          <w:p w14:paraId="4981FAF9"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Owners’ equity</w:t>
            </w:r>
          </w:p>
        </w:tc>
        <w:tc>
          <w:tcPr>
            <w:tcW w:w="1484" w:type="pct"/>
            <w:shd w:val="clear" w:color="auto" w:fill="auto"/>
            <w:tcMar>
              <w:top w:w="0" w:type="dxa"/>
              <w:bottom w:w="0" w:type="dxa"/>
            </w:tcMar>
            <w:vAlign w:val="center"/>
          </w:tcPr>
          <w:p w14:paraId="1A860D75"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41,782,613,155</w:t>
            </w:r>
          </w:p>
        </w:tc>
      </w:tr>
      <w:tr w:rsidR="00DB7C78" w:rsidRPr="00C56146" w14:paraId="5BD310E2" w14:textId="77777777" w:rsidTr="00C56146">
        <w:tc>
          <w:tcPr>
            <w:tcW w:w="697" w:type="pct"/>
            <w:shd w:val="clear" w:color="auto" w:fill="auto"/>
            <w:tcMar>
              <w:top w:w="0" w:type="dxa"/>
              <w:bottom w:w="0" w:type="dxa"/>
            </w:tcMar>
            <w:vAlign w:val="center"/>
          </w:tcPr>
          <w:p w14:paraId="71FC7981"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4</w:t>
            </w:r>
          </w:p>
        </w:tc>
        <w:tc>
          <w:tcPr>
            <w:tcW w:w="2819" w:type="pct"/>
            <w:shd w:val="clear" w:color="auto" w:fill="auto"/>
            <w:tcMar>
              <w:top w:w="0" w:type="dxa"/>
              <w:bottom w:w="0" w:type="dxa"/>
            </w:tcMar>
            <w:vAlign w:val="center"/>
          </w:tcPr>
          <w:p w14:paraId="7DCE4784"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revenue and other incomes</w:t>
            </w:r>
          </w:p>
        </w:tc>
        <w:tc>
          <w:tcPr>
            <w:tcW w:w="1484" w:type="pct"/>
            <w:shd w:val="clear" w:color="auto" w:fill="auto"/>
            <w:tcMar>
              <w:top w:w="0" w:type="dxa"/>
              <w:bottom w:w="0" w:type="dxa"/>
            </w:tcMar>
            <w:vAlign w:val="center"/>
          </w:tcPr>
          <w:p w14:paraId="6D9A8451"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241,787,943,223</w:t>
            </w:r>
          </w:p>
        </w:tc>
      </w:tr>
      <w:tr w:rsidR="00DB7C78" w:rsidRPr="00C56146" w14:paraId="118CF923" w14:textId="77777777" w:rsidTr="00C56146">
        <w:tc>
          <w:tcPr>
            <w:tcW w:w="697" w:type="pct"/>
            <w:shd w:val="clear" w:color="auto" w:fill="auto"/>
            <w:tcMar>
              <w:top w:w="0" w:type="dxa"/>
              <w:bottom w:w="0" w:type="dxa"/>
            </w:tcMar>
            <w:vAlign w:val="center"/>
          </w:tcPr>
          <w:p w14:paraId="4B3B98E0"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5</w:t>
            </w:r>
          </w:p>
        </w:tc>
        <w:tc>
          <w:tcPr>
            <w:tcW w:w="2819" w:type="pct"/>
            <w:shd w:val="clear" w:color="auto" w:fill="auto"/>
            <w:tcMar>
              <w:top w:w="0" w:type="dxa"/>
              <w:bottom w:w="0" w:type="dxa"/>
            </w:tcMar>
            <w:vAlign w:val="center"/>
          </w:tcPr>
          <w:p w14:paraId="48649CFF"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expenses</w:t>
            </w:r>
          </w:p>
        </w:tc>
        <w:tc>
          <w:tcPr>
            <w:tcW w:w="1484" w:type="pct"/>
            <w:shd w:val="clear" w:color="auto" w:fill="auto"/>
            <w:tcMar>
              <w:top w:w="0" w:type="dxa"/>
              <w:bottom w:w="0" w:type="dxa"/>
            </w:tcMar>
            <w:vAlign w:val="center"/>
          </w:tcPr>
          <w:p w14:paraId="56E7B163"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233,098,531,113</w:t>
            </w:r>
          </w:p>
        </w:tc>
      </w:tr>
      <w:tr w:rsidR="00DB7C78" w:rsidRPr="00C56146" w14:paraId="3A1C5BCC" w14:textId="77777777" w:rsidTr="00C56146">
        <w:tc>
          <w:tcPr>
            <w:tcW w:w="697" w:type="pct"/>
            <w:shd w:val="clear" w:color="auto" w:fill="auto"/>
            <w:tcMar>
              <w:top w:w="0" w:type="dxa"/>
              <w:bottom w:w="0" w:type="dxa"/>
            </w:tcMar>
            <w:vAlign w:val="center"/>
          </w:tcPr>
          <w:p w14:paraId="683E62D8"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6</w:t>
            </w:r>
          </w:p>
        </w:tc>
        <w:tc>
          <w:tcPr>
            <w:tcW w:w="2819" w:type="pct"/>
            <w:shd w:val="clear" w:color="auto" w:fill="auto"/>
            <w:tcMar>
              <w:top w:w="0" w:type="dxa"/>
              <w:bottom w:w="0" w:type="dxa"/>
            </w:tcMar>
            <w:vAlign w:val="center"/>
          </w:tcPr>
          <w:p w14:paraId="3C62DBF9"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profit before tax</w:t>
            </w:r>
          </w:p>
        </w:tc>
        <w:tc>
          <w:tcPr>
            <w:tcW w:w="1484" w:type="pct"/>
            <w:shd w:val="clear" w:color="auto" w:fill="auto"/>
            <w:tcMar>
              <w:top w:w="0" w:type="dxa"/>
              <w:bottom w:w="0" w:type="dxa"/>
            </w:tcMar>
            <w:vAlign w:val="center"/>
          </w:tcPr>
          <w:p w14:paraId="379DC1B0"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8,689,412,110</w:t>
            </w:r>
          </w:p>
        </w:tc>
      </w:tr>
      <w:tr w:rsidR="00DB7C78" w:rsidRPr="00C56146" w14:paraId="18D995E3" w14:textId="77777777" w:rsidTr="00C56146">
        <w:tc>
          <w:tcPr>
            <w:tcW w:w="697" w:type="pct"/>
            <w:shd w:val="clear" w:color="auto" w:fill="auto"/>
            <w:tcMar>
              <w:top w:w="0" w:type="dxa"/>
              <w:bottom w:w="0" w:type="dxa"/>
            </w:tcMar>
            <w:vAlign w:val="center"/>
          </w:tcPr>
          <w:p w14:paraId="6CFA794C"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7</w:t>
            </w:r>
          </w:p>
        </w:tc>
        <w:tc>
          <w:tcPr>
            <w:tcW w:w="2819" w:type="pct"/>
            <w:shd w:val="clear" w:color="auto" w:fill="auto"/>
            <w:tcMar>
              <w:top w:w="0" w:type="dxa"/>
              <w:bottom w:w="0" w:type="dxa"/>
            </w:tcMar>
            <w:vAlign w:val="center"/>
          </w:tcPr>
          <w:p w14:paraId="600C50CB"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Current corporate income tax</w:t>
            </w:r>
          </w:p>
        </w:tc>
        <w:tc>
          <w:tcPr>
            <w:tcW w:w="1484" w:type="pct"/>
            <w:shd w:val="clear" w:color="auto" w:fill="auto"/>
            <w:tcMar>
              <w:top w:w="0" w:type="dxa"/>
              <w:bottom w:w="0" w:type="dxa"/>
            </w:tcMar>
            <w:vAlign w:val="center"/>
          </w:tcPr>
          <w:p w14:paraId="53846312"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2,036,400,645</w:t>
            </w:r>
          </w:p>
        </w:tc>
      </w:tr>
      <w:tr w:rsidR="00DB7C78" w:rsidRPr="00C56146" w14:paraId="07946409" w14:textId="77777777" w:rsidTr="00C56146">
        <w:tc>
          <w:tcPr>
            <w:tcW w:w="697" w:type="pct"/>
            <w:shd w:val="clear" w:color="auto" w:fill="auto"/>
            <w:tcMar>
              <w:top w:w="0" w:type="dxa"/>
              <w:bottom w:w="0" w:type="dxa"/>
            </w:tcMar>
            <w:vAlign w:val="center"/>
          </w:tcPr>
          <w:p w14:paraId="6E57F1F7"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8</w:t>
            </w:r>
          </w:p>
        </w:tc>
        <w:tc>
          <w:tcPr>
            <w:tcW w:w="2819" w:type="pct"/>
            <w:shd w:val="clear" w:color="auto" w:fill="auto"/>
            <w:tcMar>
              <w:top w:w="0" w:type="dxa"/>
              <w:bottom w:w="0" w:type="dxa"/>
            </w:tcMar>
            <w:vAlign w:val="center"/>
          </w:tcPr>
          <w:p w14:paraId="3EEA7C07"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Profit after tax</w:t>
            </w:r>
          </w:p>
        </w:tc>
        <w:tc>
          <w:tcPr>
            <w:tcW w:w="1484" w:type="pct"/>
            <w:shd w:val="clear" w:color="auto" w:fill="auto"/>
            <w:tcMar>
              <w:top w:w="0" w:type="dxa"/>
              <w:bottom w:w="0" w:type="dxa"/>
            </w:tcMar>
            <w:vAlign w:val="center"/>
          </w:tcPr>
          <w:p w14:paraId="44A4F694"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6,653,011,465</w:t>
            </w:r>
          </w:p>
        </w:tc>
      </w:tr>
      <w:tr w:rsidR="00DB7C78" w:rsidRPr="00C56146" w14:paraId="030AF47F" w14:textId="77777777" w:rsidTr="00C56146">
        <w:tc>
          <w:tcPr>
            <w:tcW w:w="697" w:type="pct"/>
            <w:shd w:val="clear" w:color="auto" w:fill="auto"/>
            <w:tcMar>
              <w:top w:w="0" w:type="dxa"/>
              <w:bottom w:w="0" w:type="dxa"/>
            </w:tcMar>
            <w:vAlign w:val="center"/>
          </w:tcPr>
          <w:p w14:paraId="62CE5FB2"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lastRenderedPageBreak/>
              <w:t>9</w:t>
            </w:r>
          </w:p>
        </w:tc>
        <w:tc>
          <w:tcPr>
            <w:tcW w:w="2819" w:type="pct"/>
            <w:shd w:val="clear" w:color="auto" w:fill="auto"/>
            <w:tcMar>
              <w:top w:w="0" w:type="dxa"/>
              <w:bottom w:w="0" w:type="dxa"/>
            </w:tcMar>
            <w:vAlign w:val="center"/>
          </w:tcPr>
          <w:p w14:paraId="223A12DF"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Basic earnings per share</w:t>
            </w:r>
          </w:p>
        </w:tc>
        <w:tc>
          <w:tcPr>
            <w:tcW w:w="1484" w:type="pct"/>
            <w:shd w:val="clear" w:color="auto" w:fill="auto"/>
            <w:tcMar>
              <w:top w:w="0" w:type="dxa"/>
              <w:bottom w:w="0" w:type="dxa"/>
            </w:tcMar>
            <w:vAlign w:val="center"/>
          </w:tcPr>
          <w:p w14:paraId="28F2BB5F"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1,484</w:t>
            </w:r>
          </w:p>
        </w:tc>
      </w:tr>
    </w:tbl>
    <w:p w14:paraId="56525C77" w14:textId="5082E485"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5.</w:t>
      </w:r>
      <w:proofErr w:type="gramEnd"/>
      <w:r w:rsidRPr="00C56146">
        <w:rPr>
          <w:rFonts w:ascii="Arial" w:hAnsi="Arial" w:cs="Arial"/>
          <w:color w:val="010000"/>
          <w:sz w:val="20"/>
        </w:rPr>
        <w:t xml:space="preserve"> Approve the plan on profit distribution, dividend payment and funds in 2023 and the 2024 plan</w:t>
      </w:r>
      <w:r w:rsidR="00C56146" w:rsidRPr="00C56146">
        <w:rPr>
          <w:rFonts w:ascii="Arial" w:hAnsi="Arial" w:cs="Arial"/>
          <w:color w:val="010000"/>
          <w:sz w:val="20"/>
        </w:rPr>
        <w:t xml:space="preserve"> </w:t>
      </w:r>
    </w:p>
    <w:p w14:paraId="30B22124" w14:textId="77777777" w:rsidR="00DB7C78" w:rsidRPr="00C56146" w:rsidRDefault="005052B6" w:rsidP="001D4831">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Unit: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
        <w:gridCol w:w="4411"/>
        <w:gridCol w:w="2001"/>
        <w:gridCol w:w="1987"/>
      </w:tblGrid>
      <w:tr w:rsidR="00DB7C78" w:rsidRPr="00C56146" w14:paraId="1199AE60" w14:textId="77777777" w:rsidTr="00C56146">
        <w:tc>
          <w:tcPr>
            <w:tcW w:w="358" w:type="pct"/>
            <w:shd w:val="clear" w:color="auto" w:fill="auto"/>
            <w:tcMar>
              <w:top w:w="0" w:type="dxa"/>
              <w:bottom w:w="0" w:type="dxa"/>
            </w:tcMar>
            <w:vAlign w:val="center"/>
          </w:tcPr>
          <w:p w14:paraId="3CAE3FBD"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No.</w:t>
            </w:r>
          </w:p>
        </w:tc>
        <w:tc>
          <w:tcPr>
            <w:tcW w:w="2438" w:type="pct"/>
            <w:shd w:val="clear" w:color="auto" w:fill="auto"/>
            <w:tcMar>
              <w:top w:w="0" w:type="dxa"/>
              <w:bottom w:w="0" w:type="dxa"/>
            </w:tcMar>
            <w:vAlign w:val="center"/>
          </w:tcPr>
          <w:p w14:paraId="03D01174"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Profit distribution plan</w:t>
            </w:r>
          </w:p>
        </w:tc>
        <w:tc>
          <w:tcPr>
            <w:tcW w:w="1106" w:type="pct"/>
            <w:shd w:val="clear" w:color="auto" w:fill="auto"/>
            <w:tcMar>
              <w:top w:w="0" w:type="dxa"/>
              <w:bottom w:w="0" w:type="dxa"/>
            </w:tcMar>
            <w:vAlign w:val="center"/>
          </w:tcPr>
          <w:p w14:paraId="603A2FCF"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2023 Results</w:t>
            </w:r>
          </w:p>
        </w:tc>
        <w:tc>
          <w:tcPr>
            <w:tcW w:w="1098" w:type="pct"/>
            <w:shd w:val="clear" w:color="auto" w:fill="auto"/>
            <w:tcMar>
              <w:top w:w="0" w:type="dxa"/>
              <w:bottom w:w="0" w:type="dxa"/>
            </w:tcMar>
            <w:vAlign w:val="center"/>
          </w:tcPr>
          <w:p w14:paraId="3348F988"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2024 Plan</w:t>
            </w:r>
          </w:p>
        </w:tc>
      </w:tr>
      <w:tr w:rsidR="00DB7C78" w:rsidRPr="00C56146" w14:paraId="02BCAA8A" w14:textId="77777777" w:rsidTr="00C56146">
        <w:tc>
          <w:tcPr>
            <w:tcW w:w="358" w:type="pct"/>
            <w:shd w:val="clear" w:color="auto" w:fill="auto"/>
            <w:tcMar>
              <w:top w:w="0" w:type="dxa"/>
              <w:bottom w:w="0" w:type="dxa"/>
            </w:tcMar>
            <w:vAlign w:val="center"/>
          </w:tcPr>
          <w:p w14:paraId="4FC355CB"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1</w:t>
            </w:r>
          </w:p>
        </w:tc>
        <w:tc>
          <w:tcPr>
            <w:tcW w:w="2438" w:type="pct"/>
            <w:shd w:val="clear" w:color="auto" w:fill="auto"/>
            <w:tcMar>
              <w:top w:w="0" w:type="dxa"/>
              <w:bottom w:w="0" w:type="dxa"/>
            </w:tcMar>
            <w:vAlign w:val="center"/>
          </w:tcPr>
          <w:p w14:paraId="13BF1A13"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Dividend payment rate</w:t>
            </w:r>
          </w:p>
        </w:tc>
        <w:tc>
          <w:tcPr>
            <w:tcW w:w="1106" w:type="pct"/>
            <w:shd w:val="clear" w:color="auto" w:fill="auto"/>
            <w:tcMar>
              <w:top w:w="0" w:type="dxa"/>
              <w:bottom w:w="0" w:type="dxa"/>
            </w:tcMar>
            <w:vAlign w:val="center"/>
          </w:tcPr>
          <w:p w14:paraId="25580FC3"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11%</w:t>
            </w:r>
          </w:p>
        </w:tc>
        <w:tc>
          <w:tcPr>
            <w:tcW w:w="1098" w:type="pct"/>
            <w:shd w:val="clear" w:color="auto" w:fill="auto"/>
            <w:tcMar>
              <w:top w:w="0" w:type="dxa"/>
              <w:bottom w:w="0" w:type="dxa"/>
            </w:tcMar>
            <w:vAlign w:val="center"/>
          </w:tcPr>
          <w:p w14:paraId="3DE7DAAB" w14:textId="36861290" w:rsidR="00DB7C78" w:rsidRPr="00C56146" w:rsidRDefault="00C56146" w:rsidP="00C56146">
            <w:pPr>
              <w:pBdr>
                <w:top w:val="nil"/>
                <w:left w:val="nil"/>
                <w:bottom w:val="nil"/>
                <w:right w:val="nil"/>
                <w:between w:val="nil"/>
              </w:pBdr>
              <w:tabs>
                <w:tab w:val="left" w:pos="259"/>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11%</w:t>
            </w:r>
            <w:r w:rsidR="005052B6" w:rsidRPr="00C56146">
              <w:rPr>
                <w:rFonts w:ascii="Arial" w:hAnsi="Arial" w:cs="Arial"/>
                <w:color w:val="010000"/>
                <w:sz w:val="20"/>
              </w:rPr>
              <w:t xml:space="preserve"> </w:t>
            </w:r>
          </w:p>
        </w:tc>
      </w:tr>
      <w:tr w:rsidR="00DB7C78" w:rsidRPr="00C56146" w14:paraId="2A5DD4F6" w14:textId="77777777" w:rsidTr="00C56146">
        <w:tc>
          <w:tcPr>
            <w:tcW w:w="358" w:type="pct"/>
            <w:shd w:val="clear" w:color="auto" w:fill="auto"/>
            <w:tcMar>
              <w:top w:w="0" w:type="dxa"/>
              <w:bottom w:w="0" w:type="dxa"/>
            </w:tcMar>
            <w:vAlign w:val="center"/>
          </w:tcPr>
          <w:p w14:paraId="1AE73080"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438" w:type="pct"/>
            <w:shd w:val="clear" w:color="auto" w:fill="auto"/>
            <w:tcMar>
              <w:top w:w="0" w:type="dxa"/>
              <w:bottom w:w="0" w:type="dxa"/>
            </w:tcMar>
            <w:vAlign w:val="center"/>
          </w:tcPr>
          <w:p w14:paraId="323C531A"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Total amount of dividends payable (VND)</w:t>
            </w:r>
          </w:p>
        </w:tc>
        <w:tc>
          <w:tcPr>
            <w:tcW w:w="1106" w:type="pct"/>
            <w:shd w:val="clear" w:color="auto" w:fill="auto"/>
            <w:tcMar>
              <w:top w:w="0" w:type="dxa"/>
              <w:bottom w:w="0" w:type="dxa"/>
            </w:tcMar>
            <w:vAlign w:val="center"/>
          </w:tcPr>
          <w:p w14:paraId="4F4CEA8E"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3,381,510,000</w:t>
            </w:r>
          </w:p>
        </w:tc>
        <w:tc>
          <w:tcPr>
            <w:tcW w:w="1098" w:type="pct"/>
            <w:shd w:val="clear" w:color="auto" w:fill="auto"/>
            <w:tcMar>
              <w:top w:w="0" w:type="dxa"/>
              <w:bottom w:w="0" w:type="dxa"/>
            </w:tcMar>
            <w:vAlign w:val="center"/>
          </w:tcPr>
          <w:p w14:paraId="54CF28D2"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3,381,510,000</w:t>
            </w:r>
          </w:p>
        </w:tc>
      </w:tr>
      <w:tr w:rsidR="00DB7C78" w:rsidRPr="00C56146" w14:paraId="224D192A" w14:textId="77777777" w:rsidTr="00C56146">
        <w:tc>
          <w:tcPr>
            <w:tcW w:w="358" w:type="pct"/>
            <w:shd w:val="clear" w:color="auto" w:fill="auto"/>
            <w:tcMar>
              <w:top w:w="0" w:type="dxa"/>
              <w:bottom w:w="0" w:type="dxa"/>
            </w:tcMar>
            <w:vAlign w:val="center"/>
          </w:tcPr>
          <w:p w14:paraId="6CBF9E95"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438" w:type="pct"/>
            <w:shd w:val="clear" w:color="auto" w:fill="auto"/>
            <w:tcMar>
              <w:top w:w="0" w:type="dxa"/>
              <w:bottom w:w="0" w:type="dxa"/>
            </w:tcMar>
            <w:vAlign w:val="center"/>
          </w:tcPr>
          <w:p w14:paraId="0E33A355"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Dividends from institutional shareholders (2,329,200 shares)</w:t>
            </w:r>
          </w:p>
        </w:tc>
        <w:tc>
          <w:tcPr>
            <w:tcW w:w="1106" w:type="pct"/>
            <w:shd w:val="clear" w:color="auto" w:fill="auto"/>
            <w:tcMar>
              <w:top w:w="0" w:type="dxa"/>
              <w:bottom w:w="0" w:type="dxa"/>
            </w:tcMar>
            <w:vAlign w:val="center"/>
          </w:tcPr>
          <w:p w14:paraId="6E0DA840"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2,562,120,000</w:t>
            </w:r>
          </w:p>
        </w:tc>
        <w:tc>
          <w:tcPr>
            <w:tcW w:w="1098" w:type="pct"/>
            <w:shd w:val="clear" w:color="auto" w:fill="auto"/>
            <w:tcMar>
              <w:top w:w="0" w:type="dxa"/>
              <w:bottom w:w="0" w:type="dxa"/>
            </w:tcMar>
            <w:vAlign w:val="center"/>
          </w:tcPr>
          <w:p w14:paraId="1CFC9E2E"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2,562,120,000</w:t>
            </w:r>
          </w:p>
        </w:tc>
      </w:tr>
      <w:tr w:rsidR="00DB7C78" w:rsidRPr="00C56146" w14:paraId="712F160E" w14:textId="77777777" w:rsidTr="00C56146">
        <w:tc>
          <w:tcPr>
            <w:tcW w:w="358" w:type="pct"/>
            <w:shd w:val="clear" w:color="auto" w:fill="auto"/>
            <w:tcMar>
              <w:top w:w="0" w:type="dxa"/>
              <w:bottom w:w="0" w:type="dxa"/>
            </w:tcMar>
            <w:vAlign w:val="center"/>
          </w:tcPr>
          <w:p w14:paraId="02CB1A8E"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w:t>
            </w:r>
          </w:p>
        </w:tc>
        <w:tc>
          <w:tcPr>
            <w:tcW w:w="2438" w:type="pct"/>
            <w:shd w:val="clear" w:color="auto" w:fill="auto"/>
            <w:tcMar>
              <w:top w:w="0" w:type="dxa"/>
              <w:bottom w:w="0" w:type="dxa"/>
            </w:tcMar>
            <w:vAlign w:val="center"/>
          </w:tcPr>
          <w:p w14:paraId="44C67933"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Dividends of public shareholders (744,900 shares)</w:t>
            </w:r>
          </w:p>
        </w:tc>
        <w:tc>
          <w:tcPr>
            <w:tcW w:w="1106" w:type="pct"/>
            <w:shd w:val="clear" w:color="auto" w:fill="auto"/>
            <w:tcMar>
              <w:top w:w="0" w:type="dxa"/>
              <w:bottom w:w="0" w:type="dxa"/>
            </w:tcMar>
            <w:vAlign w:val="center"/>
          </w:tcPr>
          <w:p w14:paraId="0D247B8A"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819,390,000</w:t>
            </w:r>
          </w:p>
        </w:tc>
        <w:tc>
          <w:tcPr>
            <w:tcW w:w="1098" w:type="pct"/>
            <w:shd w:val="clear" w:color="auto" w:fill="auto"/>
            <w:tcMar>
              <w:top w:w="0" w:type="dxa"/>
              <w:bottom w:w="0" w:type="dxa"/>
            </w:tcMar>
            <w:vAlign w:val="center"/>
          </w:tcPr>
          <w:p w14:paraId="4BA417BA"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819,390,000</w:t>
            </w:r>
          </w:p>
        </w:tc>
      </w:tr>
      <w:tr w:rsidR="00DB7C78" w:rsidRPr="00C56146" w14:paraId="7A16B626" w14:textId="77777777" w:rsidTr="00C56146">
        <w:tc>
          <w:tcPr>
            <w:tcW w:w="358" w:type="pct"/>
            <w:shd w:val="clear" w:color="auto" w:fill="auto"/>
            <w:tcMar>
              <w:top w:w="0" w:type="dxa"/>
              <w:bottom w:w="0" w:type="dxa"/>
            </w:tcMar>
            <w:vAlign w:val="center"/>
          </w:tcPr>
          <w:p w14:paraId="366E0EF9"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2</w:t>
            </w:r>
          </w:p>
        </w:tc>
        <w:tc>
          <w:tcPr>
            <w:tcW w:w="2438" w:type="pct"/>
            <w:shd w:val="clear" w:color="auto" w:fill="auto"/>
            <w:tcMar>
              <w:top w:w="0" w:type="dxa"/>
              <w:bottom w:w="0" w:type="dxa"/>
            </w:tcMar>
            <w:vAlign w:val="center"/>
          </w:tcPr>
          <w:p w14:paraId="374131E9"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Appropriation for investment and development fund</w:t>
            </w:r>
          </w:p>
        </w:tc>
        <w:tc>
          <w:tcPr>
            <w:tcW w:w="1106" w:type="pct"/>
            <w:shd w:val="clear" w:color="auto" w:fill="auto"/>
            <w:tcMar>
              <w:top w:w="0" w:type="dxa"/>
              <w:bottom w:w="0" w:type="dxa"/>
            </w:tcMar>
            <w:vAlign w:val="center"/>
          </w:tcPr>
          <w:p w14:paraId="5B248E1C"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621,000,000</w:t>
            </w:r>
          </w:p>
        </w:tc>
        <w:tc>
          <w:tcPr>
            <w:tcW w:w="1098" w:type="pct"/>
            <w:shd w:val="clear" w:color="auto" w:fill="auto"/>
            <w:tcMar>
              <w:top w:w="0" w:type="dxa"/>
              <w:bottom w:w="0" w:type="dxa"/>
            </w:tcMar>
            <w:vAlign w:val="center"/>
          </w:tcPr>
          <w:p w14:paraId="246CB98A"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621,000,000</w:t>
            </w:r>
          </w:p>
        </w:tc>
      </w:tr>
      <w:tr w:rsidR="00DB7C78" w:rsidRPr="00C56146" w14:paraId="08604B3F" w14:textId="77777777" w:rsidTr="00C56146">
        <w:tc>
          <w:tcPr>
            <w:tcW w:w="358" w:type="pct"/>
            <w:shd w:val="clear" w:color="auto" w:fill="auto"/>
            <w:tcMar>
              <w:top w:w="0" w:type="dxa"/>
              <w:bottom w:w="0" w:type="dxa"/>
            </w:tcMar>
            <w:vAlign w:val="center"/>
          </w:tcPr>
          <w:p w14:paraId="5456D9E6"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3</w:t>
            </w:r>
          </w:p>
        </w:tc>
        <w:tc>
          <w:tcPr>
            <w:tcW w:w="2438" w:type="pct"/>
            <w:shd w:val="clear" w:color="auto" w:fill="auto"/>
            <w:tcMar>
              <w:top w:w="0" w:type="dxa"/>
              <w:bottom w:w="0" w:type="dxa"/>
            </w:tcMar>
            <w:vAlign w:val="center"/>
          </w:tcPr>
          <w:p w14:paraId="22F21D68"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Appropriation for bonus and welfare fund</w:t>
            </w:r>
          </w:p>
        </w:tc>
        <w:tc>
          <w:tcPr>
            <w:tcW w:w="1106" w:type="pct"/>
            <w:shd w:val="clear" w:color="auto" w:fill="auto"/>
            <w:tcMar>
              <w:top w:w="0" w:type="dxa"/>
              <w:bottom w:w="0" w:type="dxa"/>
            </w:tcMar>
            <w:vAlign w:val="center"/>
          </w:tcPr>
          <w:p w14:paraId="3D5ED1E2"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2,408,251,465</w:t>
            </w:r>
          </w:p>
        </w:tc>
        <w:tc>
          <w:tcPr>
            <w:tcW w:w="1098" w:type="pct"/>
            <w:shd w:val="clear" w:color="auto" w:fill="auto"/>
            <w:tcMar>
              <w:top w:w="0" w:type="dxa"/>
              <w:bottom w:w="0" w:type="dxa"/>
            </w:tcMar>
            <w:vAlign w:val="center"/>
          </w:tcPr>
          <w:p w14:paraId="79A6A04B"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2,408,251,465</w:t>
            </w:r>
          </w:p>
        </w:tc>
      </w:tr>
      <w:tr w:rsidR="00DB7C78" w:rsidRPr="00C56146" w14:paraId="3DD83DFC" w14:textId="77777777" w:rsidTr="00C56146">
        <w:tc>
          <w:tcPr>
            <w:tcW w:w="358" w:type="pct"/>
            <w:shd w:val="clear" w:color="auto" w:fill="auto"/>
            <w:tcMar>
              <w:top w:w="0" w:type="dxa"/>
              <w:bottom w:w="0" w:type="dxa"/>
            </w:tcMar>
            <w:vAlign w:val="center"/>
          </w:tcPr>
          <w:p w14:paraId="713355DF" w14:textId="77777777" w:rsidR="00DB7C78" w:rsidRPr="00C56146" w:rsidRDefault="005052B6" w:rsidP="00C5614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56146">
              <w:rPr>
                <w:rFonts w:ascii="Arial" w:hAnsi="Arial" w:cs="Arial"/>
                <w:color w:val="010000"/>
                <w:sz w:val="20"/>
              </w:rPr>
              <w:t>4</w:t>
            </w:r>
          </w:p>
        </w:tc>
        <w:tc>
          <w:tcPr>
            <w:tcW w:w="2438" w:type="pct"/>
            <w:shd w:val="clear" w:color="auto" w:fill="auto"/>
            <w:tcMar>
              <w:top w:w="0" w:type="dxa"/>
              <w:bottom w:w="0" w:type="dxa"/>
            </w:tcMar>
            <w:vAlign w:val="center"/>
          </w:tcPr>
          <w:p w14:paraId="59724FBC" w14:textId="77777777" w:rsidR="00DB7C78" w:rsidRPr="00C56146" w:rsidRDefault="005052B6" w:rsidP="005052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56146">
              <w:rPr>
                <w:rFonts w:ascii="Arial" w:hAnsi="Arial" w:cs="Arial"/>
                <w:color w:val="010000"/>
                <w:sz w:val="20"/>
              </w:rPr>
              <w:t>Appropriation for bonus fund of managers</w:t>
            </w:r>
          </w:p>
        </w:tc>
        <w:tc>
          <w:tcPr>
            <w:tcW w:w="1106" w:type="pct"/>
            <w:shd w:val="clear" w:color="auto" w:fill="auto"/>
            <w:tcMar>
              <w:top w:w="0" w:type="dxa"/>
              <w:bottom w:w="0" w:type="dxa"/>
            </w:tcMar>
            <w:vAlign w:val="center"/>
          </w:tcPr>
          <w:p w14:paraId="1169C5BA"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242,250,000</w:t>
            </w:r>
          </w:p>
        </w:tc>
        <w:tc>
          <w:tcPr>
            <w:tcW w:w="1098" w:type="pct"/>
            <w:shd w:val="clear" w:color="auto" w:fill="auto"/>
            <w:tcMar>
              <w:top w:w="0" w:type="dxa"/>
              <w:bottom w:w="0" w:type="dxa"/>
            </w:tcMar>
            <w:vAlign w:val="center"/>
          </w:tcPr>
          <w:p w14:paraId="21D32FA9" w14:textId="77777777" w:rsidR="00DB7C78" w:rsidRPr="00C56146" w:rsidRDefault="005052B6" w:rsidP="00C56146">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C56146">
              <w:rPr>
                <w:rFonts w:ascii="Arial" w:hAnsi="Arial" w:cs="Arial"/>
                <w:color w:val="010000"/>
                <w:sz w:val="20"/>
              </w:rPr>
              <w:t>242,250,000</w:t>
            </w:r>
          </w:p>
        </w:tc>
      </w:tr>
    </w:tbl>
    <w:p w14:paraId="2BCED35A" w14:textId="77777777" w:rsidR="00DB7C78" w:rsidRPr="00C56146" w:rsidRDefault="005052B6" w:rsidP="001D4831">
      <w:pPr>
        <w:numPr>
          <w:ilvl w:val="0"/>
          <w:numId w:val="2"/>
        </w:numPr>
        <w:pBdr>
          <w:top w:val="nil"/>
          <w:left w:val="nil"/>
          <w:bottom w:val="nil"/>
          <w:right w:val="nil"/>
          <w:between w:val="nil"/>
        </w:pBdr>
        <w:tabs>
          <w:tab w:val="left" w:pos="432"/>
          <w:tab w:val="left" w:pos="90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Dividend payment plan: Record date for the list of shareholders to receive dividends: Follow the regulations decided by the Board of Directors after the General Mandate. </w:t>
      </w:r>
    </w:p>
    <w:p w14:paraId="388EDF44" w14:textId="77777777" w:rsidR="00DB7C78" w:rsidRPr="00C56146" w:rsidRDefault="005052B6" w:rsidP="001D4831">
      <w:pPr>
        <w:numPr>
          <w:ilvl w:val="0"/>
          <w:numId w:val="2"/>
        </w:numPr>
        <w:pBdr>
          <w:top w:val="nil"/>
          <w:left w:val="nil"/>
          <w:bottom w:val="nil"/>
          <w:right w:val="nil"/>
          <w:between w:val="nil"/>
        </w:pBdr>
        <w:tabs>
          <w:tab w:val="left" w:pos="432"/>
          <w:tab w:val="left" w:pos="893"/>
        </w:tabs>
        <w:spacing w:after="120" w:line="360" w:lineRule="auto"/>
        <w:jc w:val="both"/>
        <w:rPr>
          <w:rFonts w:ascii="Arial" w:eastAsia="Arial" w:hAnsi="Arial" w:cs="Arial"/>
          <w:color w:val="010000"/>
          <w:sz w:val="20"/>
          <w:szCs w:val="20"/>
        </w:rPr>
      </w:pPr>
      <w:r w:rsidRPr="00C56146">
        <w:rPr>
          <w:rFonts w:ascii="Arial" w:hAnsi="Arial" w:cs="Arial"/>
          <w:color w:val="010000"/>
          <w:sz w:val="20"/>
        </w:rPr>
        <w:t>Dividend payment time: According to the prescribed time, expected before October 09, 2024.</w:t>
      </w:r>
    </w:p>
    <w:p w14:paraId="5C17F6B0" w14:textId="181AB944" w:rsidR="00DB7C78" w:rsidRPr="00C56146" w:rsidRDefault="005052B6" w:rsidP="001D4831">
      <w:pPr>
        <w:numPr>
          <w:ilvl w:val="0"/>
          <w:numId w:val="2"/>
        </w:numPr>
        <w:pBdr>
          <w:top w:val="nil"/>
          <w:left w:val="nil"/>
          <w:bottom w:val="nil"/>
          <w:right w:val="nil"/>
          <w:between w:val="nil"/>
        </w:pBdr>
        <w:tabs>
          <w:tab w:val="left" w:pos="432"/>
          <w:tab w:val="left" w:pos="893"/>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Dividend payment venue: At the Company’s Headquarters (for </w:t>
      </w:r>
      <w:proofErr w:type="spellStart"/>
      <w:r w:rsidRPr="00C56146">
        <w:rPr>
          <w:rFonts w:ascii="Arial" w:hAnsi="Arial" w:cs="Arial"/>
          <w:color w:val="010000"/>
          <w:sz w:val="20"/>
        </w:rPr>
        <w:t>undeposited</w:t>
      </w:r>
      <w:proofErr w:type="spellEnd"/>
      <w:r w:rsidRPr="00C56146">
        <w:rPr>
          <w:rFonts w:ascii="Arial" w:hAnsi="Arial" w:cs="Arial"/>
          <w:color w:val="010000"/>
          <w:sz w:val="20"/>
        </w:rPr>
        <w:t xml:space="preserve"> shares) or at the depository place (for depository shares)</w:t>
      </w:r>
    </w:p>
    <w:p w14:paraId="1E5FA69D" w14:textId="49E6CF24"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6.</w:t>
      </w:r>
      <w:proofErr w:type="gramEnd"/>
      <w:r w:rsidRPr="00C56146">
        <w:rPr>
          <w:rFonts w:ascii="Arial" w:hAnsi="Arial" w:cs="Arial"/>
          <w:color w:val="010000"/>
          <w:sz w:val="20"/>
        </w:rPr>
        <w:t xml:space="preserve"> Approve the selection of independent audit company for the Financial Statements 2024 of the Company. </w:t>
      </w:r>
    </w:p>
    <w:p w14:paraId="5687A55B"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Authorize the Board of Directors to select an independent audit company in the list of audit companied eligible for audit service business in 2024 approved by the State Security Commission. </w:t>
      </w:r>
    </w:p>
    <w:p w14:paraId="2CDF8979"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7.</w:t>
      </w:r>
      <w:proofErr w:type="gramEnd"/>
      <w:r w:rsidRPr="00C56146">
        <w:rPr>
          <w:rFonts w:ascii="Arial" w:hAnsi="Arial" w:cs="Arial"/>
          <w:color w:val="010000"/>
          <w:sz w:val="20"/>
        </w:rPr>
        <w:t xml:space="preserve"> Approve the implementation of the salary and remuneration fund for employees and managers of the Company in 2023 and the 2024 plan. </w:t>
      </w:r>
    </w:p>
    <w:p w14:paraId="16A9B2A3" w14:textId="77777777" w:rsidR="00DB7C78" w:rsidRPr="00C56146" w:rsidRDefault="005052B6" w:rsidP="001D4831">
      <w:pPr>
        <w:keepNext/>
        <w:numPr>
          <w:ilvl w:val="0"/>
          <w:numId w:val="3"/>
        </w:numPr>
        <w:pBdr>
          <w:top w:val="nil"/>
          <w:left w:val="nil"/>
          <w:bottom w:val="nil"/>
          <w:right w:val="nil"/>
          <w:between w:val="nil"/>
        </w:pBdr>
        <w:tabs>
          <w:tab w:val="left" w:pos="432"/>
          <w:tab w:val="left" w:pos="1046"/>
        </w:tabs>
        <w:spacing w:after="120" w:line="360" w:lineRule="auto"/>
        <w:jc w:val="both"/>
        <w:rPr>
          <w:rFonts w:ascii="Arial" w:eastAsia="Arial" w:hAnsi="Arial" w:cs="Arial"/>
          <w:color w:val="010000"/>
          <w:sz w:val="20"/>
          <w:szCs w:val="20"/>
        </w:rPr>
      </w:pPr>
      <w:r w:rsidRPr="00C56146">
        <w:rPr>
          <w:rFonts w:ascii="Arial" w:hAnsi="Arial" w:cs="Arial"/>
          <w:color w:val="010000"/>
          <w:sz w:val="20"/>
        </w:rPr>
        <w:t>Regarding the implementation of labor, bonus and remuneration in 2023:</w:t>
      </w:r>
    </w:p>
    <w:p w14:paraId="0736DC3A" w14:textId="09310FD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Total average number of employees actually used: 380.5 persons (equal to 96.8% compared to the planned labor in 2023) Executive manager: 5 persons.</w:t>
      </w:r>
    </w:p>
    <w:p w14:paraId="5EAB5BB5"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Total realized salary fund for employees (break-meals excluded): VND 71,221,000,000, in which, the average salary for employees: VND 15,598,000 person/month (equal to 110% compared to the planned salary in 2023, equivalent to the increase in labor productivity).</w:t>
      </w:r>
    </w:p>
    <w:p w14:paraId="6EEA2942"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Total actual salary fund for executive manager realized: VND 1,977,360,000, in which, the </w:t>
      </w:r>
      <w:r w:rsidRPr="00C56146">
        <w:rPr>
          <w:rFonts w:ascii="Arial" w:hAnsi="Arial" w:cs="Arial"/>
          <w:color w:val="010000"/>
          <w:sz w:val="20"/>
        </w:rPr>
        <w:lastRenderedPageBreak/>
        <w:t>average salary for executive managers representing the state capital: VND 35,995,000 person/month (equal to 107.8% of the planned salary, suitable for the increase in profit), the average salary for executive managers not representing the state capital VND 30,930,000 person/month (equal to 107.8% of the planned salary).</w:t>
      </w:r>
    </w:p>
    <w:p w14:paraId="283DC882"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Total remuneration fund for non-executive managers: VND 54,000,000, in which, the average remuneration: VND 1,500,000 person/month (equal to 100% of the planned salary in 2023).</w:t>
      </w:r>
    </w:p>
    <w:p w14:paraId="6541DCB2" w14:textId="77777777" w:rsidR="00DB7C78" w:rsidRPr="00C56146" w:rsidRDefault="005052B6" w:rsidP="001D4831">
      <w:pPr>
        <w:keepNext/>
        <w:numPr>
          <w:ilvl w:val="0"/>
          <w:numId w:val="3"/>
        </w:numPr>
        <w:pBdr>
          <w:top w:val="nil"/>
          <w:left w:val="nil"/>
          <w:bottom w:val="nil"/>
          <w:right w:val="nil"/>
          <w:between w:val="nil"/>
        </w:pBdr>
        <w:tabs>
          <w:tab w:val="left" w:pos="432"/>
          <w:tab w:val="left" w:pos="1046"/>
        </w:tabs>
        <w:spacing w:after="120" w:line="360" w:lineRule="auto"/>
        <w:jc w:val="both"/>
        <w:rPr>
          <w:rFonts w:ascii="Arial" w:eastAsia="Arial" w:hAnsi="Arial" w:cs="Arial"/>
          <w:color w:val="010000"/>
          <w:sz w:val="20"/>
          <w:szCs w:val="20"/>
        </w:rPr>
      </w:pPr>
      <w:r w:rsidRPr="00C56146">
        <w:rPr>
          <w:rFonts w:ascii="Arial" w:hAnsi="Arial" w:cs="Arial"/>
          <w:color w:val="010000"/>
          <w:sz w:val="20"/>
        </w:rPr>
        <w:t>Plan on labor, salary and remuneration in 2024:</w:t>
      </w:r>
    </w:p>
    <w:p w14:paraId="2ABC7EB8"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Planned labor: 393 persons (equal to 103.3% compared to the realized labor in 2023). Executive manager: 5 persons. </w:t>
      </w:r>
    </w:p>
    <w:p w14:paraId="1C561B75" w14:textId="468C64B0"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 xml:space="preserve">Total planned salary fund for employees: VND 73,843,128,000 (break-meals excluded), in which, the average salary for employees: VND 15,658,000 person/month (equal to 100.3% of the realized salary in 2023, in accordance with the profit target and the planned labor productivity) </w:t>
      </w:r>
    </w:p>
    <w:p w14:paraId="2E681D57"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Total actual salary fund for executive manager: VND 1,977,360,000, in which, the average salary for executive managers representing the state capital: VND 35,995,000 person/month (equal to 100% of the realized salary in 2023, in accordance with the profit target), the average salary for executive managers not representing the state capital: VND 30,930,000 person/month (equal to 100% of the realized salary in 2023)</w:t>
      </w:r>
    </w:p>
    <w:p w14:paraId="6B3A512B" w14:textId="77777777" w:rsidR="00DB7C78" w:rsidRPr="00C56146" w:rsidRDefault="005052B6" w:rsidP="001D4831">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Planned total remuneration fund for non-executive managers: VND 54,000,000, in which, the average remuneration: VND 1,500,000 person/month (equal to 100% of the realized remuneration in 2023)</w:t>
      </w:r>
      <w:bookmarkStart w:id="0" w:name="_GoBack"/>
      <w:bookmarkEnd w:id="0"/>
    </w:p>
    <w:p w14:paraId="3748D229" w14:textId="04DC2CDD"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8.</w:t>
      </w:r>
      <w:proofErr w:type="gramEnd"/>
      <w:r w:rsidRPr="00C56146">
        <w:rPr>
          <w:rFonts w:ascii="Arial" w:hAnsi="Arial" w:cs="Arial"/>
          <w:color w:val="010000"/>
          <w:sz w:val="20"/>
        </w:rPr>
        <w:t xml:space="preserve"> Approve the authorization of the Company Board of Directors to approve the contract and assign the Company Manager to sign the Contract of regular maintenance and railway infrastructure repair with the shareholder: Vietnam Railways Corporation. For other contracts with the value equal to or greater than 35% of the Company's total assets, the Capital Representative reports to the Member Council of Vietnam Railways Corporation before voting at the Company Board of Directors.</w:t>
      </w:r>
    </w:p>
    <w:p w14:paraId="7FB34C54"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56146">
        <w:rPr>
          <w:rFonts w:ascii="Arial" w:hAnsi="Arial" w:cs="Arial"/>
          <w:color w:val="010000"/>
          <w:sz w:val="20"/>
        </w:rPr>
        <w:t>‎‎Article 9.</w:t>
      </w:r>
      <w:proofErr w:type="gramEnd"/>
      <w:r w:rsidRPr="00C56146">
        <w:rPr>
          <w:rFonts w:ascii="Arial" w:hAnsi="Arial" w:cs="Arial"/>
          <w:color w:val="010000"/>
          <w:sz w:val="20"/>
        </w:rPr>
        <w:t xml:space="preserve"> Approve the authorization of the Board of Directors to decide on the Company's plan on fixed asset investment and procurement in 2024, ensuring the order and investment procedures in accordance with the law and consult the Member Council of the Corporation before voting at the Company Board of Directors.</w:t>
      </w:r>
    </w:p>
    <w:p w14:paraId="1C841FC3" w14:textId="77777777" w:rsidR="00DB7C78" w:rsidRPr="00C56146" w:rsidRDefault="005052B6" w:rsidP="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6146">
        <w:rPr>
          <w:rFonts w:ascii="Arial" w:hAnsi="Arial" w:cs="Arial"/>
          <w:color w:val="010000"/>
          <w:sz w:val="20"/>
        </w:rPr>
        <w:t>This General Mandate is made, announced and approved before all shareholders at 17:30 on April 9, 2024.</w:t>
      </w:r>
    </w:p>
    <w:p w14:paraId="6E0BC5DE" w14:textId="77777777" w:rsidR="001D4831" w:rsidRPr="00C56146" w:rsidRDefault="001D483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1D4831" w:rsidRPr="00C56146" w:rsidSect="00D65B0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785"/>
    <w:multiLevelType w:val="multilevel"/>
    <w:tmpl w:val="054A5D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124743"/>
    <w:multiLevelType w:val="multilevel"/>
    <w:tmpl w:val="6938031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86019EB"/>
    <w:multiLevelType w:val="multilevel"/>
    <w:tmpl w:val="DEBC6C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78"/>
    <w:rsid w:val="001D4831"/>
    <w:rsid w:val="005052B6"/>
    <w:rsid w:val="008C3060"/>
    <w:rsid w:val="00C56146"/>
    <w:rsid w:val="00D65B02"/>
    <w:rsid w:val="00DB7C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B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292A2A"/>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color w:val="D0475B"/>
      <w:sz w:val="15"/>
      <w:szCs w:val="15"/>
      <w:u w:val="none"/>
      <w:shd w:val="clear" w:color="auto" w:fill="auto"/>
    </w:rPr>
  </w:style>
  <w:style w:type="paragraph" w:customStyle="1" w:styleId="Vnbnnidung20">
    <w:name w:val="Văn bản nội dung (2)"/>
    <w:basedOn w:val="Normal"/>
    <w:link w:val="Vnbnnidung2"/>
    <w:rPr>
      <w:rFonts w:ascii="Arial" w:eastAsia="Arial" w:hAnsi="Arial" w:cs="Arial"/>
      <w:sz w:val="20"/>
      <w:szCs w:val="20"/>
    </w:rPr>
  </w:style>
  <w:style w:type="paragraph" w:customStyle="1" w:styleId="Vnbnnidung40">
    <w:name w:val="Văn bản nội dung (4)"/>
    <w:basedOn w:val="Normal"/>
    <w:link w:val="Vnbnnidung4"/>
    <w:pPr>
      <w:spacing w:line="307" w:lineRule="auto"/>
      <w:jc w:val="center"/>
    </w:pPr>
    <w:rPr>
      <w:rFonts w:ascii="Arial" w:eastAsia="Arial" w:hAnsi="Arial" w:cs="Arial"/>
      <w:sz w:val="28"/>
      <w:szCs w:val="28"/>
    </w:rPr>
  </w:style>
  <w:style w:type="paragraph" w:customStyle="1" w:styleId="Vnbnnidung30">
    <w:name w:val="Văn bản nội dung (3)"/>
    <w:basedOn w:val="Normal"/>
    <w:link w:val="Vnbnnidung3"/>
    <w:pPr>
      <w:spacing w:line="250" w:lineRule="auto"/>
      <w:jc w:val="center"/>
    </w:pPr>
    <w:rPr>
      <w:rFonts w:ascii="Times New Roman" w:eastAsia="Times New Roman" w:hAnsi="Times New Roman" w:cs="Times New Roman"/>
      <w:b/>
      <w:bCs/>
      <w:color w:val="292A2A"/>
      <w:sz w:val="22"/>
      <w:szCs w:val="22"/>
    </w:rPr>
  </w:style>
  <w:style w:type="paragraph" w:customStyle="1" w:styleId="Vnbnnidung0">
    <w:name w:val="Văn bản nội dung"/>
    <w:basedOn w:val="Normal"/>
    <w:link w:val="Vnbnnidung"/>
    <w:pPr>
      <w:spacing w:line="26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59" w:lineRule="auto"/>
      <w:outlineLvl w:val="0"/>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66" w:lineRule="auto"/>
      <w:ind w:firstLine="540"/>
    </w:pPr>
    <w:rPr>
      <w:rFonts w:ascii="Times New Roman" w:eastAsia="Times New Roman" w:hAnsi="Times New Roman" w:cs="Times New Roman"/>
      <w:sz w:val="26"/>
      <w:szCs w:val="26"/>
    </w:rPr>
  </w:style>
  <w:style w:type="paragraph" w:customStyle="1" w:styleId="Khc0">
    <w:name w:val="Khác"/>
    <w:basedOn w:val="Normal"/>
    <w:link w:val="Khc"/>
    <w:pPr>
      <w:spacing w:line="262" w:lineRule="auto"/>
      <w:ind w:firstLine="40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spacing w:line="254" w:lineRule="auto"/>
      <w:ind w:firstLine="240"/>
    </w:pPr>
    <w:rPr>
      <w:rFonts w:ascii="Times New Roman" w:eastAsia="Times New Roman" w:hAnsi="Times New Roman" w:cs="Times New Roman"/>
      <w:sz w:val="19"/>
      <w:szCs w:val="19"/>
    </w:rPr>
  </w:style>
  <w:style w:type="paragraph" w:customStyle="1" w:styleId="Vnbnnidung60">
    <w:name w:val="Văn bản nội dung (6)"/>
    <w:basedOn w:val="Normal"/>
    <w:link w:val="Vnbnnidung6"/>
    <w:rPr>
      <w:rFonts w:ascii="Arial" w:eastAsia="Arial" w:hAnsi="Arial" w:cs="Arial"/>
      <w:b/>
      <w:bCs/>
      <w:color w:val="D0475B"/>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292A2A"/>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color w:val="D0475B"/>
      <w:sz w:val="15"/>
      <w:szCs w:val="15"/>
      <w:u w:val="none"/>
      <w:shd w:val="clear" w:color="auto" w:fill="auto"/>
    </w:rPr>
  </w:style>
  <w:style w:type="paragraph" w:customStyle="1" w:styleId="Vnbnnidung20">
    <w:name w:val="Văn bản nội dung (2)"/>
    <w:basedOn w:val="Normal"/>
    <w:link w:val="Vnbnnidung2"/>
    <w:rPr>
      <w:rFonts w:ascii="Arial" w:eastAsia="Arial" w:hAnsi="Arial" w:cs="Arial"/>
      <w:sz w:val="20"/>
      <w:szCs w:val="20"/>
    </w:rPr>
  </w:style>
  <w:style w:type="paragraph" w:customStyle="1" w:styleId="Vnbnnidung40">
    <w:name w:val="Văn bản nội dung (4)"/>
    <w:basedOn w:val="Normal"/>
    <w:link w:val="Vnbnnidung4"/>
    <w:pPr>
      <w:spacing w:line="307" w:lineRule="auto"/>
      <w:jc w:val="center"/>
    </w:pPr>
    <w:rPr>
      <w:rFonts w:ascii="Arial" w:eastAsia="Arial" w:hAnsi="Arial" w:cs="Arial"/>
      <w:sz w:val="28"/>
      <w:szCs w:val="28"/>
    </w:rPr>
  </w:style>
  <w:style w:type="paragraph" w:customStyle="1" w:styleId="Vnbnnidung30">
    <w:name w:val="Văn bản nội dung (3)"/>
    <w:basedOn w:val="Normal"/>
    <w:link w:val="Vnbnnidung3"/>
    <w:pPr>
      <w:spacing w:line="250" w:lineRule="auto"/>
      <w:jc w:val="center"/>
    </w:pPr>
    <w:rPr>
      <w:rFonts w:ascii="Times New Roman" w:eastAsia="Times New Roman" w:hAnsi="Times New Roman" w:cs="Times New Roman"/>
      <w:b/>
      <w:bCs/>
      <w:color w:val="292A2A"/>
      <w:sz w:val="22"/>
      <w:szCs w:val="22"/>
    </w:rPr>
  </w:style>
  <w:style w:type="paragraph" w:customStyle="1" w:styleId="Vnbnnidung0">
    <w:name w:val="Văn bản nội dung"/>
    <w:basedOn w:val="Normal"/>
    <w:link w:val="Vnbnnidung"/>
    <w:pPr>
      <w:spacing w:line="26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59" w:lineRule="auto"/>
      <w:outlineLvl w:val="0"/>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66" w:lineRule="auto"/>
      <w:ind w:firstLine="540"/>
    </w:pPr>
    <w:rPr>
      <w:rFonts w:ascii="Times New Roman" w:eastAsia="Times New Roman" w:hAnsi="Times New Roman" w:cs="Times New Roman"/>
      <w:sz w:val="26"/>
      <w:szCs w:val="26"/>
    </w:rPr>
  </w:style>
  <w:style w:type="paragraph" w:customStyle="1" w:styleId="Khc0">
    <w:name w:val="Khác"/>
    <w:basedOn w:val="Normal"/>
    <w:link w:val="Khc"/>
    <w:pPr>
      <w:spacing w:line="262" w:lineRule="auto"/>
      <w:ind w:firstLine="40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spacing w:line="254" w:lineRule="auto"/>
      <w:ind w:firstLine="240"/>
    </w:pPr>
    <w:rPr>
      <w:rFonts w:ascii="Times New Roman" w:eastAsia="Times New Roman" w:hAnsi="Times New Roman" w:cs="Times New Roman"/>
      <w:sz w:val="19"/>
      <w:szCs w:val="19"/>
    </w:rPr>
  </w:style>
  <w:style w:type="paragraph" w:customStyle="1" w:styleId="Vnbnnidung60">
    <w:name w:val="Văn bản nội dung (6)"/>
    <w:basedOn w:val="Normal"/>
    <w:link w:val="Vnbnnidung6"/>
    <w:rPr>
      <w:rFonts w:ascii="Arial" w:eastAsia="Arial" w:hAnsi="Arial" w:cs="Arial"/>
      <w:b/>
      <w:bCs/>
      <w:color w:val="D0475B"/>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uGK67ZNmEDsoE2Kswgn8c+GQ==">CgMxLjA4AHIhMVRvbWs3b1lRMmR4OXVxRTlyUk1iZDYzc3NNMTU2c1Rw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2024-04-11T04:25:00Z</dcterms:created>
  <dcterms:modified xsi:type="dcterms:W3CDTF">2024-04-15T06:41:00Z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a2d00608cd5d65bbee326067696828b19680cce2310ba48dfa8a17e24933b7dd</vt:lpwstr>
  </property>
</Properties>
</file>