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24776"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b/>
          <w:color w:val="010000"/>
          <w:sz w:val="20"/>
          <w:szCs w:val="20"/>
        </w:rPr>
      </w:pPr>
      <w:r w:rsidRPr="007020AA">
        <w:rPr>
          <w:rFonts w:ascii="Arial" w:hAnsi="Arial" w:cs="Arial"/>
          <w:b/>
          <w:color w:val="010000"/>
          <w:sz w:val="20"/>
        </w:rPr>
        <w:t>VGS: Annual General Mandate 2024</w:t>
      </w:r>
    </w:p>
    <w:p w14:paraId="060C2B2D" w14:textId="77777777" w:rsidR="00C8395E" w:rsidRPr="007020AA" w:rsidRDefault="004D6D03" w:rsidP="007B6C59">
      <w:pPr>
        <w:keepNext/>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On April 6, 2024, Vietnam Germany Steel Pipe JSC announced General Mandate No. 01/2024/NQ-DHDCD-VGS as follows:</w:t>
      </w:r>
    </w:p>
    <w:p w14:paraId="1BE0FE65" w14:textId="36682F82"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Article 1: The Annual </w:t>
      </w:r>
      <w:r w:rsidR="006054CD">
        <w:rPr>
          <w:rFonts w:ascii="Arial" w:hAnsi="Arial" w:cs="Arial"/>
          <w:color w:val="010000"/>
          <w:sz w:val="20"/>
        </w:rPr>
        <w:t>General Meeting</w:t>
      </w:r>
      <w:r w:rsidRPr="007020AA">
        <w:rPr>
          <w:rFonts w:ascii="Arial" w:hAnsi="Arial" w:cs="Arial"/>
          <w:color w:val="010000"/>
          <w:sz w:val="20"/>
        </w:rPr>
        <w:t xml:space="preserve"> 2024 approved the following contents:</w:t>
      </w:r>
    </w:p>
    <w:p w14:paraId="218C2024" w14:textId="747676A8" w:rsidR="00C8395E" w:rsidRPr="007020AA" w:rsidRDefault="004D6D03" w:rsidP="007B6C59">
      <w:pPr>
        <w:numPr>
          <w:ilvl w:val="0"/>
          <w:numId w:val="12"/>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 xml:space="preserve">The </w:t>
      </w:r>
      <w:r w:rsidR="006054CD">
        <w:rPr>
          <w:rFonts w:ascii="Arial" w:hAnsi="Arial" w:cs="Arial"/>
          <w:color w:val="010000"/>
          <w:sz w:val="20"/>
        </w:rPr>
        <w:t>General Meeting</w:t>
      </w:r>
      <w:r w:rsidRPr="007020AA">
        <w:rPr>
          <w:rFonts w:ascii="Arial" w:hAnsi="Arial" w:cs="Arial"/>
          <w:color w:val="010000"/>
          <w:sz w:val="20"/>
        </w:rPr>
        <w:t xml:space="preserve"> approved the following Reports:</w:t>
      </w:r>
    </w:p>
    <w:p w14:paraId="17B9C871" w14:textId="77777777" w:rsidR="00C8395E" w:rsidRPr="007020AA" w:rsidRDefault="004D6D03" w:rsidP="007B6C59">
      <w:pPr>
        <w:numPr>
          <w:ilvl w:val="0"/>
          <w:numId w:val="13"/>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Report of the Board of Management on the results of production and business activities in 2023 and the production and business plan in 2024;</w:t>
      </w:r>
    </w:p>
    <w:p w14:paraId="61C7ACCE" w14:textId="77777777" w:rsidR="00D97E0D" w:rsidRPr="007020AA" w:rsidRDefault="004D6D03" w:rsidP="007B6C59">
      <w:pPr>
        <w:numPr>
          <w:ilvl w:val="0"/>
          <w:numId w:val="13"/>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Report on governance activities of the Board of Directors in 2023 and Plan for 2024;</w:t>
      </w:r>
    </w:p>
    <w:p w14:paraId="5E28FB2F" w14:textId="2B516C62" w:rsidR="00C8395E" w:rsidRPr="007020AA" w:rsidRDefault="004D6D03" w:rsidP="007B6C59">
      <w:pPr>
        <w:numPr>
          <w:ilvl w:val="0"/>
          <w:numId w:val="13"/>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Report on activities of the</w:t>
      </w:r>
      <w:r w:rsidR="007B6C59">
        <w:rPr>
          <w:rFonts w:ascii="Arial" w:hAnsi="Arial" w:cs="Arial"/>
          <w:color w:val="010000"/>
          <w:sz w:val="20"/>
        </w:rPr>
        <w:t xml:space="preserve"> Supervisory Board in 2023 and o</w:t>
      </w:r>
      <w:r w:rsidRPr="007020AA">
        <w:rPr>
          <w:rFonts w:ascii="Arial" w:hAnsi="Arial" w:cs="Arial"/>
          <w:color w:val="010000"/>
          <w:sz w:val="20"/>
        </w:rPr>
        <w:t>perational direction in 2024.</w:t>
      </w:r>
    </w:p>
    <w:p w14:paraId="6539315C" w14:textId="77777777" w:rsidR="00C8395E" w:rsidRPr="007020AA" w:rsidRDefault="004D6D03" w:rsidP="007B6C59">
      <w:pPr>
        <w:numPr>
          <w:ilvl w:val="0"/>
          <w:numId w:val="12"/>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Results of approving the content of the proposals:</w:t>
      </w:r>
    </w:p>
    <w:p w14:paraId="5E2776DA" w14:textId="3B96B072" w:rsidR="00C8395E" w:rsidRPr="007020AA" w:rsidRDefault="004D6D03" w:rsidP="007B6C59">
      <w:pPr>
        <w:numPr>
          <w:ilvl w:val="1"/>
          <w:numId w:val="12"/>
        </w:numPr>
        <w:pBdr>
          <w:top w:val="nil"/>
          <w:left w:val="nil"/>
          <w:bottom w:val="nil"/>
          <w:right w:val="nil"/>
          <w:between w:val="nil"/>
        </w:pBdr>
        <w:tabs>
          <w:tab w:val="left" w:pos="360"/>
          <w:tab w:val="left" w:pos="450"/>
          <w:tab w:val="left" w:pos="2088"/>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w:t>
      </w:r>
      <w:r w:rsidR="00D97E0D" w:rsidRPr="007020AA">
        <w:rPr>
          <w:rFonts w:ascii="Arial" w:hAnsi="Arial" w:cs="Arial"/>
          <w:color w:val="010000"/>
          <w:sz w:val="20"/>
        </w:rPr>
        <w:t xml:space="preserve">Audited Financial Settlement Report </w:t>
      </w:r>
      <w:r w:rsidRPr="007020AA">
        <w:rPr>
          <w:rFonts w:ascii="Arial" w:hAnsi="Arial" w:cs="Arial"/>
          <w:color w:val="010000"/>
          <w:sz w:val="20"/>
        </w:rPr>
        <w:t xml:space="preserve">2023 of the Holding Company and Consolidated </w:t>
      </w:r>
      <w:r w:rsidR="00D97E0D" w:rsidRPr="007020AA">
        <w:rPr>
          <w:rFonts w:ascii="Arial" w:hAnsi="Arial" w:cs="Arial"/>
          <w:color w:val="010000"/>
          <w:sz w:val="20"/>
        </w:rPr>
        <w:t>R</w:t>
      </w:r>
      <w:r w:rsidRPr="007020AA">
        <w:rPr>
          <w:rFonts w:ascii="Arial" w:hAnsi="Arial" w:cs="Arial"/>
          <w:color w:val="010000"/>
          <w:sz w:val="20"/>
        </w:rPr>
        <w:t xml:space="preserve">eport.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2B0780A2" w14:textId="77777777" w:rsidR="00C8395E" w:rsidRPr="007020AA" w:rsidRDefault="004D6D03" w:rsidP="00D97E0D">
      <w:pPr>
        <w:numPr>
          <w:ilvl w:val="0"/>
          <w:numId w:val="48"/>
        </w:numPr>
        <w:pBdr>
          <w:top w:val="nil"/>
          <w:left w:val="nil"/>
          <w:bottom w:val="nil"/>
          <w:right w:val="nil"/>
          <w:between w:val="nil"/>
        </w:pBdr>
        <w:tabs>
          <w:tab w:val="left" w:pos="360"/>
          <w:tab w:val="left" w:pos="450"/>
          <w:tab w:val="left" w:pos="2090"/>
        </w:tabs>
        <w:spacing w:after="120" w:line="360" w:lineRule="auto"/>
        <w:rPr>
          <w:rFonts w:ascii="Arial" w:eastAsia="Arial" w:hAnsi="Arial" w:cs="Arial"/>
          <w:color w:val="010000"/>
          <w:sz w:val="20"/>
          <w:szCs w:val="20"/>
        </w:rPr>
      </w:pPr>
      <w:r w:rsidRPr="007020AA">
        <w:rPr>
          <w:rFonts w:ascii="Arial" w:hAnsi="Arial" w:cs="Arial"/>
          <w:color w:val="010000"/>
          <w:sz w:val="20"/>
        </w:rPr>
        <w:t>Balance sheet (audited):</w:t>
      </w:r>
    </w:p>
    <w:tbl>
      <w:tblPr>
        <w:tblStyle w:val="a"/>
        <w:tblW w:w="5000" w:type="pct"/>
        <w:tblLook w:val="0400" w:firstRow="0" w:lastRow="0" w:firstColumn="0" w:lastColumn="0" w:noHBand="0" w:noVBand="1"/>
      </w:tblPr>
      <w:tblGrid>
        <w:gridCol w:w="3584"/>
        <w:gridCol w:w="1550"/>
        <w:gridCol w:w="1944"/>
        <w:gridCol w:w="1939"/>
      </w:tblGrid>
      <w:tr w:rsidR="00C8395E" w:rsidRPr="007020AA" w14:paraId="6ED47C61" w14:textId="77777777" w:rsidTr="00D97E0D">
        <w:tc>
          <w:tcPr>
            <w:tcW w:w="1987" w:type="pct"/>
            <w:tcBorders>
              <w:top w:val="single" w:sz="4" w:space="0" w:color="000000"/>
              <w:left w:val="single" w:sz="4" w:space="0" w:color="000000"/>
            </w:tcBorders>
            <w:shd w:val="clear" w:color="auto" w:fill="auto"/>
            <w:tcMar>
              <w:top w:w="0" w:type="dxa"/>
              <w:bottom w:w="0" w:type="dxa"/>
            </w:tcMar>
            <w:vAlign w:val="center"/>
          </w:tcPr>
          <w:p w14:paraId="59DE8EDB"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Targets</w:t>
            </w:r>
          </w:p>
        </w:tc>
        <w:tc>
          <w:tcPr>
            <w:tcW w:w="859" w:type="pct"/>
            <w:tcBorders>
              <w:top w:val="single" w:sz="4" w:space="0" w:color="000000"/>
              <w:left w:val="single" w:sz="4" w:space="0" w:color="000000"/>
            </w:tcBorders>
            <w:shd w:val="clear" w:color="auto" w:fill="auto"/>
            <w:tcMar>
              <w:top w:w="0" w:type="dxa"/>
              <w:bottom w:w="0" w:type="dxa"/>
            </w:tcMar>
            <w:vAlign w:val="center"/>
          </w:tcPr>
          <w:p w14:paraId="4A1B56C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Unit</w:t>
            </w:r>
          </w:p>
        </w:tc>
        <w:tc>
          <w:tcPr>
            <w:tcW w:w="1078" w:type="pct"/>
            <w:tcBorders>
              <w:top w:val="single" w:sz="4" w:space="0" w:color="000000"/>
              <w:left w:val="single" w:sz="4" w:space="0" w:color="000000"/>
            </w:tcBorders>
            <w:shd w:val="clear" w:color="auto" w:fill="auto"/>
            <w:tcMar>
              <w:top w:w="0" w:type="dxa"/>
              <w:bottom w:w="0" w:type="dxa"/>
            </w:tcMar>
            <w:vAlign w:val="center"/>
          </w:tcPr>
          <w:p w14:paraId="15DBF2DF"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Holding Company</w:t>
            </w:r>
          </w:p>
        </w:tc>
        <w:tc>
          <w:tcPr>
            <w:tcW w:w="107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20116C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Consolidated</w:t>
            </w:r>
          </w:p>
        </w:tc>
      </w:tr>
      <w:tr w:rsidR="00C8395E" w:rsidRPr="007020AA" w14:paraId="3E4489B2" w14:textId="77777777" w:rsidTr="00D97E0D">
        <w:tc>
          <w:tcPr>
            <w:tcW w:w="1987" w:type="pct"/>
            <w:tcBorders>
              <w:top w:val="single" w:sz="4" w:space="0" w:color="000000"/>
              <w:left w:val="single" w:sz="4" w:space="0" w:color="000000"/>
            </w:tcBorders>
            <w:shd w:val="clear" w:color="auto" w:fill="auto"/>
            <w:tcMar>
              <w:top w:w="0" w:type="dxa"/>
              <w:bottom w:w="0" w:type="dxa"/>
            </w:tcMar>
            <w:vAlign w:val="center"/>
          </w:tcPr>
          <w:p w14:paraId="68B48122"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1. Total assets</w:t>
            </w:r>
          </w:p>
        </w:tc>
        <w:tc>
          <w:tcPr>
            <w:tcW w:w="859" w:type="pct"/>
            <w:tcBorders>
              <w:top w:val="single" w:sz="4" w:space="0" w:color="000000"/>
              <w:left w:val="single" w:sz="4" w:space="0" w:color="000000"/>
            </w:tcBorders>
            <w:shd w:val="clear" w:color="auto" w:fill="auto"/>
            <w:tcMar>
              <w:top w:w="0" w:type="dxa"/>
              <w:bottom w:w="0" w:type="dxa"/>
            </w:tcMar>
            <w:vAlign w:val="center"/>
          </w:tcPr>
          <w:p w14:paraId="6FCAE4C4"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top w:val="single" w:sz="4" w:space="0" w:color="000000"/>
              <w:left w:val="single" w:sz="4" w:space="0" w:color="000000"/>
            </w:tcBorders>
            <w:shd w:val="clear" w:color="auto" w:fill="auto"/>
            <w:tcMar>
              <w:top w:w="0" w:type="dxa"/>
              <w:bottom w:w="0" w:type="dxa"/>
            </w:tcMar>
            <w:vAlign w:val="center"/>
          </w:tcPr>
          <w:p w14:paraId="55B7373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1,793.7</w:t>
            </w:r>
          </w:p>
        </w:tc>
        <w:tc>
          <w:tcPr>
            <w:tcW w:w="107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0CE8801"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2,447.3</w:t>
            </w:r>
          </w:p>
        </w:tc>
      </w:tr>
      <w:tr w:rsidR="00C8395E" w:rsidRPr="007020AA" w14:paraId="3E5F1F10" w14:textId="77777777" w:rsidTr="00D97E0D">
        <w:tc>
          <w:tcPr>
            <w:tcW w:w="1987" w:type="pct"/>
            <w:tcBorders>
              <w:top w:val="single" w:sz="4" w:space="0" w:color="000000"/>
              <w:left w:val="single" w:sz="4" w:space="0" w:color="000000"/>
            </w:tcBorders>
            <w:shd w:val="clear" w:color="auto" w:fill="auto"/>
            <w:tcMar>
              <w:top w:w="0" w:type="dxa"/>
              <w:bottom w:w="0" w:type="dxa"/>
            </w:tcMar>
            <w:vAlign w:val="center"/>
          </w:tcPr>
          <w:p w14:paraId="66634AE7"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1.1. Short-term asset</w:t>
            </w:r>
          </w:p>
        </w:tc>
        <w:tc>
          <w:tcPr>
            <w:tcW w:w="859" w:type="pct"/>
            <w:tcBorders>
              <w:top w:val="single" w:sz="4" w:space="0" w:color="000000"/>
              <w:left w:val="single" w:sz="4" w:space="0" w:color="000000"/>
            </w:tcBorders>
            <w:shd w:val="clear" w:color="auto" w:fill="auto"/>
            <w:tcMar>
              <w:top w:w="0" w:type="dxa"/>
              <w:bottom w:w="0" w:type="dxa"/>
            </w:tcMar>
            <w:vAlign w:val="center"/>
          </w:tcPr>
          <w:p w14:paraId="0A3D669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top w:val="single" w:sz="4" w:space="0" w:color="000000"/>
              <w:left w:val="single" w:sz="4" w:space="0" w:color="000000"/>
            </w:tcBorders>
            <w:shd w:val="clear" w:color="auto" w:fill="auto"/>
            <w:tcMar>
              <w:top w:w="0" w:type="dxa"/>
              <w:bottom w:w="0" w:type="dxa"/>
            </w:tcMar>
            <w:vAlign w:val="center"/>
          </w:tcPr>
          <w:p w14:paraId="7094C308"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808.9</w:t>
            </w:r>
          </w:p>
        </w:tc>
        <w:tc>
          <w:tcPr>
            <w:tcW w:w="107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60AFB8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1,480.4</w:t>
            </w:r>
          </w:p>
        </w:tc>
      </w:tr>
      <w:tr w:rsidR="00C8395E" w:rsidRPr="007020AA" w14:paraId="1ADB66F0" w14:textId="77777777" w:rsidTr="00D97E0D">
        <w:tc>
          <w:tcPr>
            <w:tcW w:w="1987" w:type="pct"/>
            <w:tcBorders>
              <w:left w:val="single" w:sz="4" w:space="0" w:color="000000"/>
            </w:tcBorders>
            <w:shd w:val="clear" w:color="auto" w:fill="auto"/>
            <w:tcMar>
              <w:top w:w="0" w:type="dxa"/>
              <w:bottom w:w="0" w:type="dxa"/>
            </w:tcMar>
            <w:vAlign w:val="center"/>
          </w:tcPr>
          <w:p w14:paraId="6237802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1.2. Long-term assets</w:t>
            </w:r>
          </w:p>
        </w:tc>
        <w:tc>
          <w:tcPr>
            <w:tcW w:w="859" w:type="pct"/>
            <w:tcBorders>
              <w:left w:val="single" w:sz="4" w:space="0" w:color="000000"/>
            </w:tcBorders>
            <w:shd w:val="clear" w:color="auto" w:fill="auto"/>
            <w:tcMar>
              <w:top w:w="0" w:type="dxa"/>
              <w:bottom w:w="0" w:type="dxa"/>
            </w:tcMar>
            <w:vAlign w:val="center"/>
          </w:tcPr>
          <w:p w14:paraId="063D369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left w:val="single" w:sz="4" w:space="0" w:color="000000"/>
            </w:tcBorders>
            <w:shd w:val="clear" w:color="auto" w:fill="auto"/>
            <w:tcMar>
              <w:top w:w="0" w:type="dxa"/>
              <w:bottom w:w="0" w:type="dxa"/>
            </w:tcMar>
            <w:vAlign w:val="center"/>
          </w:tcPr>
          <w:p w14:paraId="7564C69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984.8</w:t>
            </w:r>
          </w:p>
        </w:tc>
        <w:tc>
          <w:tcPr>
            <w:tcW w:w="1075" w:type="pct"/>
            <w:tcBorders>
              <w:left w:val="single" w:sz="4" w:space="0" w:color="000000"/>
              <w:right w:val="single" w:sz="4" w:space="0" w:color="000000"/>
            </w:tcBorders>
            <w:shd w:val="clear" w:color="auto" w:fill="auto"/>
            <w:tcMar>
              <w:top w:w="0" w:type="dxa"/>
              <w:bottom w:w="0" w:type="dxa"/>
            </w:tcMar>
            <w:vAlign w:val="center"/>
          </w:tcPr>
          <w:p w14:paraId="3623EA2C"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966.9</w:t>
            </w:r>
          </w:p>
        </w:tc>
      </w:tr>
      <w:tr w:rsidR="00C8395E" w:rsidRPr="007020AA" w14:paraId="79909953" w14:textId="77777777" w:rsidTr="00D97E0D">
        <w:tc>
          <w:tcPr>
            <w:tcW w:w="1987" w:type="pct"/>
            <w:tcBorders>
              <w:top w:val="single" w:sz="4" w:space="0" w:color="000000"/>
              <w:left w:val="single" w:sz="4" w:space="0" w:color="000000"/>
            </w:tcBorders>
            <w:shd w:val="clear" w:color="auto" w:fill="auto"/>
            <w:tcMar>
              <w:top w:w="0" w:type="dxa"/>
              <w:bottom w:w="0" w:type="dxa"/>
            </w:tcMar>
            <w:vAlign w:val="center"/>
          </w:tcPr>
          <w:p w14:paraId="6E08CD91"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 Total Capital</w:t>
            </w:r>
          </w:p>
        </w:tc>
        <w:tc>
          <w:tcPr>
            <w:tcW w:w="859" w:type="pct"/>
            <w:tcBorders>
              <w:top w:val="single" w:sz="4" w:space="0" w:color="000000"/>
              <w:left w:val="single" w:sz="4" w:space="0" w:color="000000"/>
            </w:tcBorders>
            <w:shd w:val="clear" w:color="auto" w:fill="auto"/>
            <w:tcMar>
              <w:top w:w="0" w:type="dxa"/>
              <w:bottom w:w="0" w:type="dxa"/>
            </w:tcMar>
            <w:vAlign w:val="center"/>
          </w:tcPr>
          <w:p w14:paraId="62C31F59"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top w:val="single" w:sz="4" w:space="0" w:color="000000"/>
              <w:left w:val="single" w:sz="4" w:space="0" w:color="000000"/>
            </w:tcBorders>
            <w:shd w:val="clear" w:color="auto" w:fill="auto"/>
            <w:tcMar>
              <w:top w:w="0" w:type="dxa"/>
              <w:bottom w:w="0" w:type="dxa"/>
            </w:tcMar>
            <w:vAlign w:val="center"/>
          </w:tcPr>
          <w:p w14:paraId="729673EB"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1,793.7</w:t>
            </w:r>
          </w:p>
        </w:tc>
        <w:tc>
          <w:tcPr>
            <w:tcW w:w="107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0E9EF5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2,447.3</w:t>
            </w:r>
          </w:p>
        </w:tc>
      </w:tr>
      <w:tr w:rsidR="00C8395E" w:rsidRPr="007020AA" w14:paraId="450795A7" w14:textId="77777777" w:rsidTr="00D97E0D">
        <w:tc>
          <w:tcPr>
            <w:tcW w:w="1987" w:type="pct"/>
            <w:tcBorders>
              <w:top w:val="single" w:sz="4" w:space="0" w:color="000000"/>
              <w:left w:val="single" w:sz="4" w:space="0" w:color="000000"/>
            </w:tcBorders>
            <w:shd w:val="clear" w:color="auto" w:fill="auto"/>
            <w:tcMar>
              <w:top w:w="0" w:type="dxa"/>
              <w:bottom w:w="0" w:type="dxa"/>
            </w:tcMar>
            <w:vAlign w:val="center"/>
          </w:tcPr>
          <w:p w14:paraId="3B56FD7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2.1. Payables</w:t>
            </w:r>
          </w:p>
        </w:tc>
        <w:tc>
          <w:tcPr>
            <w:tcW w:w="859" w:type="pct"/>
            <w:tcBorders>
              <w:top w:val="single" w:sz="4" w:space="0" w:color="000000"/>
              <w:left w:val="single" w:sz="4" w:space="0" w:color="000000"/>
            </w:tcBorders>
            <w:shd w:val="clear" w:color="auto" w:fill="auto"/>
            <w:tcMar>
              <w:top w:w="0" w:type="dxa"/>
              <w:bottom w:w="0" w:type="dxa"/>
            </w:tcMar>
            <w:vAlign w:val="center"/>
          </w:tcPr>
          <w:p w14:paraId="13477376"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top w:val="single" w:sz="4" w:space="0" w:color="000000"/>
              <w:left w:val="single" w:sz="4" w:space="0" w:color="000000"/>
            </w:tcBorders>
            <w:shd w:val="clear" w:color="auto" w:fill="auto"/>
            <w:tcMar>
              <w:top w:w="0" w:type="dxa"/>
              <w:bottom w:w="0" w:type="dxa"/>
            </w:tcMar>
            <w:vAlign w:val="center"/>
          </w:tcPr>
          <w:p w14:paraId="3725418C"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980.5</w:t>
            </w:r>
          </w:p>
        </w:tc>
        <w:tc>
          <w:tcPr>
            <w:tcW w:w="107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505CDF"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1,465.9</w:t>
            </w:r>
          </w:p>
        </w:tc>
      </w:tr>
      <w:tr w:rsidR="00C8395E" w:rsidRPr="007020AA" w14:paraId="5085E7C9" w14:textId="77777777" w:rsidTr="00D97E0D">
        <w:tc>
          <w:tcPr>
            <w:tcW w:w="1987" w:type="pct"/>
            <w:tcBorders>
              <w:left w:val="single" w:sz="4" w:space="0" w:color="000000"/>
              <w:bottom w:val="single" w:sz="4" w:space="0" w:color="000000"/>
            </w:tcBorders>
            <w:shd w:val="clear" w:color="auto" w:fill="auto"/>
            <w:tcMar>
              <w:top w:w="0" w:type="dxa"/>
              <w:bottom w:w="0" w:type="dxa"/>
            </w:tcMar>
            <w:vAlign w:val="center"/>
          </w:tcPr>
          <w:p w14:paraId="4F04FBD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2.2. Owners’ equity</w:t>
            </w:r>
          </w:p>
        </w:tc>
        <w:tc>
          <w:tcPr>
            <w:tcW w:w="859" w:type="pct"/>
            <w:tcBorders>
              <w:left w:val="single" w:sz="4" w:space="0" w:color="000000"/>
              <w:bottom w:val="single" w:sz="4" w:space="0" w:color="000000"/>
            </w:tcBorders>
            <w:shd w:val="clear" w:color="auto" w:fill="auto"/>
            <w:tcMar>
              <w:top w:w="0" w:type="dxa"/>
              <w:bottom w:w="0" w:type="dxa"/>
            </w:tcMar>
            <w:vAlign w:val="center"/>
          </w:tcPr>
          <w:p w14:paraId="0D3D33BB"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078" w:type="pct"/>
            <w:tcBorders>
              <w:left w:val="single" w:sz="4" w:space="0" w:color="000000"/>
              <w:bottom w:val="single" w:sz="4" w:space="0" w:color="000000"/>
            </w:tcBorders>
            <w:shd w:val="clear" w:color="auto" w:fill="auto"/>
            <w:tcMar>
              <w:top w:w="0" w:type="dxa"/>
              <w:bottom w:w="0" w:type="dxa"/>
            </w:tcMar>
            <w:vAlign w:val="center"/>
          </w:tcPr>
          <w:p w14:paraId="7FF6464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813.2</w:t>
            </w:r>
          </w:p>
        </w:tc>
        <w:tc>
          <w:tcPr>
            <w:tcW w:w="1075" w:type="pct"/>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25F203BB"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981.4</w:t>
            </w:r>
          </w:p>
        </w:tc>
      </w:tr>
    </w:tbl>
    <w:p w14:paraId="3C19F578" w14:textId="3EF5BAB1" w:rsidR="00C8395E" w:rsidRPr="007020AA" w:rsidRDefault="004D6D03" w:rsidP="007B6C59">
      <w:pPr>
        <w:keepNext/>
        <w:numPr>
          <w:ilvl w:val="0"/>
          <w:numId w:val="48"/>
        </w:numPr>
        <w:pBdr>
          <w:top w:val="nil"/>
          <w:left w:val="nil"/>
          <w:bottom w:val="nil"/>
          <w:right w:val="nil"/>
          <w:between w:val="nil"/>
        </w:pBdr>
        <w:tabs>
          <w:tab w:val="left" w:pos="360"/>
          <w:tab w:val="left" w:pos="450"/>
          <w:tab w:val="left" w:pos="2088"/>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Income </w:t>
      </w:r>
      <w:r w:rsidR="00D97E0D" w:rsidRPr="007020AA">
        <w:rPr>
          <w:rFonts w:ascii="Arial" w:hAnsi="Arial" w:cs="Arial"/>
          <w:color w:val="010000"/>
          <w:sz w:val="20"/>
        </w:rPr>
        <w:t>S</w:t>
      </w:r>
      <w:r w:rsidRPr="007020AA">
        <w:rPr>
          <w:rFonts w:ascii="Arial" w:hAnsi="Arial" w:cs="Arial"/>
          <w:color w:val="010000"/>
          <w:sz w:val="20"/>
        </w:rPr>
        <w:t>tatement (audited);</w:t>
      </w:r>
    </w:p>
    <w:p w14:paraId="4AEAC234" w14:textId="00158933" w:rsidR="00C8395E" w:rsidRPr="007020AA" w:rsidRDefault="004D6D03" w:rsidP="007B6C59">
      <w:pPr>
        <w:numPr>
          <w:ilvl w:val="0"/>
          <w:numId w:val="46"/>
        </w:numPr>
        <w:pBdr>
          <w:top w:val="nil"/>
          <w:left w:val="nil"/>
          <w:bottom w:val="nil"/>
          <w:right w:val="nil"/>
          <w:between w:val="nil"/>
        </w:pBdr>
        <w:tabs>
          <w:tab w:val="left" w:pos="360"/>
          <w:tab w:val="left" w:pos="450"/>
          <w:tab w:val="left" w:pos="2088"/>
          <w:tab w:val="right" w:pos="4803"/>
          <w:tab w:val="center" w:pos="5008"/>
          <w:tab w:val="right" w:pos="5384"/>
          <w:tab w:val="center" w:pos="5595"/>
          <w:tab w:val="left" w:pos="5939"/>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 xml:space="preserve">Total revenue: The Holding Company reached VND 4,526.9 billion; Consolidated </w:t>
      </w:r>
      <w:r w:rsidR="00D97E0D" w:rsidRPr="007020AA">
        <w:rPr>
          <w:rFonts w:ascii="Arial" w:hAnsi="Arial" w:cs="Arial"/>
          <w:color w:val="010000"/>
          <w:sz w:val="20"/>
        </w:rPr>
        <w:t xml:space="preserve">Statement </w:t>
      </w:r>
      <w:r w:rsidRPr="007020AA">
        <w:rPr>
          <w:rFonts w:ascii="Arial" w:hAnsi="Arial" w:cs="Arial"/>
          <w:color w:val="010000"/>
          <w:sz w:val="20"/>
        </w:rPr>
        <w:t>reached VND 7,567.8 billion</w:t>
      </w:r>
    </w:p>
    <w:p w14:paraId="2B2914EA" w14:textId="231E9198" w:rsidR="00C8395E" w:rsidRPr="007020AA" w:rsidRDefault="004D6D03" w:rsidP="007B6C59">
      <w:pPr>
        <w:numPr>
          <w:ilvl w:val="0"/>
          <w:numId w:val="46"/>
        </w:numPr>
        <w:pBdr>
          <w:top w:val="nil"/>
          <w:left w:val="nil"/>
          <w:bottom w:val="nil"/>
          <w:right w:val="nil"/>
          <w:between w:val="nil"/>
        </w:pBdr>
        <w:tabs>
          <w:tab w:val="left" w:pos="360"/>
          <w:tab w:val="left" w:pos="450"/>
          <w:tab w:val="left" w:pos="2088"/>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 xml:space="preserve">Profit before tax: The Holding Company reached VND 141.6 billion; Consolidated </w:t>
      </w:r>
      <w:r w:rsidR="00D97E0D" w:rsidRPr="007020AA">
        <w:rPr>
          <w:rFonts w:ascii="Arial" w:hAnsi="Arial" w:cs="Arial"/>
          <w:color w:val="010000"/>
          <w:sz w:val="20"/>
        </w:rPr>
        <w:t xml:space="preserve">Statement </w:t>
      </w:r>
      <w:r w:rsidRPr="007020AA">
        <w:rPr>
          <w:rFonts w:ascii="Arial" w:hAnsi="Arial" w:cs="Arial"/>
          <w:color w:val="010000"/>
          <w:sz w:val="20"/>
        </w:rPr>
        <w:t>reached VND 72.3 billion.</w:t>
      </w:r>
    </w:p>
    <w:p w14:paraId="62142E8C" w14:textId="0EBDA322" w:rsidR="00C8395E" w:rsidRPr="007020AA" w:rsidRDefault="004D6D03" w:rsidP="007B6C59">
      <w:pPr>
        <w:numPr>
          <w:ilvl w:val="0"/>
          <w:numId w:val="46"/>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 xml:space="preserve">Profit after tax: The Holding Company reached VND 131.8 billion; Consolidated </w:t>
      </w:r>
      <w:r w:rsidR="00D97E0D" w:rsidRPr="007020AA">
        <w:rPr>
          <w:rFonts w:ascii="Arial" w:hAnsi="Arial" w:cs="Arial"/>
          <w:color w:val="010000"/>
          <w:sz w:val="20"/>
        </w:rPr>
        <w:t xml:space="preserve">Statement </w:t>
      </w:r>
      <w:r w:rsidRPr="007020AA">
        <w:rPr>
          <w:rFonts w:ascii="Arial" w:hAnsi="Arial" w:cs="Arial"/>
          <w:color w:val="010000"/>
          <w:sz w:val="20"/>
        </w:rPr>
        <w:t>reached VND 58.1 billion.</w:t>
      </w:r>
    </w:p>
    <w:p w14:paraId="3B4A8D06" w14:textId="77777777" w:rsidR="00C8395E" w:rsidRPr="007020AA" w:rsidRDefault="004D6D03" w:rsidP="007B6C59">
      <w:pPr>
        <w:numPr>
          <w:ilvl w:val="1"/>
          <w:numId w:val="12"/>
        </w:numPr>
        <w:pBdr>
          <w:top w:val="nil"/>
          <w:left w:val="nil"/>
          <w:bottom w:val="nil"/>
          <w:right w:val="nil"/>
          <w:between w:val="nil"/>
        </w:pBdr>
        <w:tabs>
          <w:tab w:val="left" w:pos="360"/>
          <w:tab w:val="left" w:pos="450"/>
          <w:tab w:val="left" w:pos="581"/>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profit distribution plan, appropriation for funds for 2023 and the 2024 Plan.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3610E2B1" w14:textId="77777777" w:rsidR="00C8395E" w:rsidRPr="007020AA" w:rsidRDefault="004D6D03" w:rsidP="007B6C59">
      <w:pPr>
        <w:numPr>
          <w:ilvl w:val="0"/>
          <w:numId w:val="47"/>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Approve the profit distribution in 2023:</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8"/>
        <w:gridCol w:w="4837"/>
        <w:gridCol w:w="1205"/>
        <w:gridCol w:w="2287"/>
      </w:tblGrid>
      <w:tr w:rsidR="00C8395E" w:rsidRPr="007020AA" w14:paraId="214E4884" w14:textId="77777777" w:rsidTr="00D97E0D">
        <w:tc>
          <w:tcPr>
            <w:tcW w:w="382" w:type="pct"/>
            <w:shd w:val="clear" w:color="auto" w:fill="auto"/>
            <w:tcMar>
              <w:top w:w="0" w:type="dxa"/>
              <w:bottom w:w="0" w:type="dxa"/>
            </w:tcMar>
            <w:vAlign w:val="center"/>
          </w:tcPr>
          <w:p w14:paraId="40D56D07"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No.</w:t>
            </w:r>
          </w:p>
        </w:tc>
        <w:tc>
          <w:tcPr>
            <w:tcW w:w="2682" w:type="pct"/>
            <w:shd w:val="clear" w:color="auto" w:fill="auto"/>
            <w:tcMar>
              <w:top w:w="0" w:type="dxa"/>
              <w:bottom w:w="0" w:type="dxa"/>
            </w:tcMar>
            <w:vAlign w:val="center"/>
          </w:tcPr>
          <w:p w14:paraId="56C47F62"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Explanation</w:t>
            </w:r>
          </w:p>
        </w:tc>
        <w:tc>
          <w:tcPr>
            <w:tcW w:w="668" w:type="pct"/>
            <w:shd w:val="clear" w:color="auto" w:fill="auto"/>
            <w:tcMar>
              <w:top w:w="0" w:type="dxa"/>
              <w:bottom w:w="0" w:type="dxa"/>
            </w:tcMar>
            <w:vAlign w:val="center"/>
          </w:tcPr>
          <w:p w14:paraId="4B57A446"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Rate (%)</w:t>
            </w:r>
          </w:p>
        </w:tc>
        <w:tc>
          <w:tcPr>
            <w:tcW w:w="1268" w:type="pct"/>
            <w:shd w:val="clear" w:color="auto" w:fill="auto"/>
            <w:tcMar>
              <w:top w:w="0" w:type="dxa"/>
              <w:bottom w:w="0" w:type="dxa"/>
            </w:tcMar>
            <w:vAlign w:val="center"/>
          </w:tcPr>
          <w:p w14:paraId="7C45EAD1"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Amount (VND)</w:t>
            </w:r>
          </w:p>
        </w:tc>
      </w:tr>
      <w:tr w:rsidR="00C8395E" w:rsidRPr="007020AA" w14:paraId="722E70ED" w14:textId="77777777" w:rsidTr="00D97E0D">
        <w:tc>
          <w:tcPr>
            <w:tcW w:w="382" w:type="pct"/>
            <w:shd w:val="clear" w:color="auto" w:fill="auto"/>
            <w:tcMar>
              <w:top w:w="0" w:type="dxa"/>
              <w:bottom w:w="0" w:type="dxa"/>
            </w:tcMar>
            <w:vAlign w:val="center"/>
          </w:tcPr>
          <w:p w14:paraId="5340BBB4"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lastRenderedPageBreak/>
              <w:t>1.</w:t>
            </w:r>
          </w:p>
        </w:tc>
        <w:tc>
          <w:tcPr>
            <w:tcW w:w="2682" w:type="pct"/>
            <w:shd w:val="clear" w:color="auto" w:fill="auto"/>
            <w:tcMar>
              <w:top w:w="0" w:type="dxa"/>
              <w:bottom w:w="0" w:type="dxa"/>
            </w:tcMar>
            <w:vAlign w:val="center"/>
          </w:tcPr>
          <w:p w14:paraId="756DDAB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Undistributed profit after tax as of December 31, 2023</w:t>
            </w:r>
          </w:p>
        </w:tc>
        <w:tc>
          <w:tcPr>
            <w:tcW w:w="668" w:type="pct"/>
            <w:shd w:val="clear" w:color="auto" w:fill="auto"/>
            <w:tcMar>
              <w:top w:w="0" w:type="dxa"/>
              <w:bottom w:w="0" w:type="dxa"/>
            </w:tcMar>
            <w:vAlign w:val="center"/>
          </w:tcPr>
          <w:p w14:paraId="126D18D2" w14:textId="77777777" w:rsidR="00C8395E" w:rsidRPr="007020AA" w:rsidRDefault="00C8395E" w:rsidP="00D97E0D">
            <w:pPr>
              <w:tabs>
                <w:tab w:val="left" w:pos="360"/>
                <w:tab w:val="left" w:pos="450"/>
              </w:tabs>
              <w:spacing w:after="120" w:line="360" w:lineRule="auto"/>
              <w:jc w:val="right"/>
              <w:rPr>
                <w:rFonts w:ascii="Arial" w:eastAsia="Arial" w:hAnsi="Arial" w:cs="Arial"/>
                <w:color w:val="010000"/>
                <w:sz w:val="20"/>
                <w:szCs w:val="20"/>
              </w:rPr>
            </w:pPr>
          </w:p>
        </w:tc>
        <w:tc>
          <w:tcPr>
            <w:tcW w:w="1268" w:type="pct"/>
            <w:shd w:val="clear" w:color="auto" w:fill="auto"/>
            <w:tcMar>
              <w:top w:w="0" w:type="dxa"/>
              <w:bottom w:w="0" w:type="dxa"/>
            </w:tcMar>
            <w:vAlign w:val="center"/>
          </w:tcPr>
          <w:p w14:paraId="7E5DDE84"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38,943,801,322</w:t>
            </w:r>
          </w:p>
        </w:tc>
      </w:tr>
      <w:tr w:rsidR="00C8395E" w:rsidRPr="007020AA" w14:paraId="1AC7B5D2" w14:textId="77777777" w:rsidTr="00D97E0D">
        <w:tc>
          <w:tcPr>
            <w:tcW w:w="382" w:type="pct"/>
            <w:shd w:val="clear" w:color="auto" w:fill="auto"/>
            <w:tcMar>
              <w:top w:w="0" w:type="dxa"/>
              <w:bottom w:w="0" w:type="dxa"/>
            </w:tcMar>
            <w:vAlign w:val="center"/>
          </w:tcPr>
          <w:p w14:paraId="7AAF216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w:t>
            </w:r>
          </w:p>
        </w:tc>
        <w:tc>
          <w:tcPr>
            <w:tcW w:w="2682" w:type="pct"/>
            <w:shd w:val="clear" w:color="auto" w:fill="auto"/>
            <w:tcMar>
              <w:top w:w="0" w:type="dxa"/>
              <w:bottom w:w="0" w:type="dxa"/>
            </w:tcMar>
            <w:vAlign w:val="center"/>
          </w:tcPr>
          <w:p w14:paraId="2BA1E05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Appropriation for the bonus fund</w:t>
            </w:r>
          </w:p>
        </w:tc>
        <w:tc>
          <w:tcPr>
            <w:tcW w:w="668" w:type="pct"/>
            <w:shd w:val="clear" w:color="auto" w:fill="auto"/>
            <w:tcMar>
              <w:top w:w="0" w:type="dxa"/>
              <w:bottom w:w="0" w:type="dxa"/>
            </w:tcMar>
            <w:vAlign w:val="center"/>
          </w:tcPr>
          <w:p w14:paraId="7C2719D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3</w:t>
            </w:r>
          </w:p>
        </w:tc>
        <w:tc>
          <w:tcPr>
            <w:tcW w:w="1268" w:type="pct"/>
            <w:shd w:val="clear" w:color="auto" w:fill="auto"/>
            <w:tcMar>
              <w:top w:w="0" w:type="dxa"/>
              <w:bottom w:w="0" w:type="dxa"/>
            </w:tcMar>
            <w:vAlign w:val="center"/>
          </w:tcPr>
          <w:p w14:paraId="0316BFC6"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1,168,314,040</w:t>
            </w:r>
          </w:p>
        </w:tc>
      </w:tr>
      <w:tr w:rsidR="00C8395E" w:rsidRPr="007020AA" w14:paraId="57279541" w14:textId="77777777" w:rsidTr="00D97E0D">
        <w:tc>
          <w:tcPr>
            <w:tcW w:w="382" w:type="pct"/>
            <w:shd w:val="clear" w:color="auto" w:fill="auto"/>
            <w:tcMar>
              <w:top w:w="0" w:type="dxa"/>
              <w:bottom w:w="0" w:type="dxa"/>
            </w:tcMar>
            <w:vAlign w:val="center"/>
          </w:tcPr>
          <w:p w14:paraId="7A96F72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3.</w:t>
            </w:r>
          </w:p>
        </w:tc>
        <w:tc>
          <w:tcPr>
            <w:tcW w:w="2682" w:type="pct"/>
            <w:shd w:val="clear" w:color="auto" w:fill="auto"/>
            <w:tcMar>
              <w:top w:w="0" w:type="dxa"/>
              <w:bottom w:w="0" w:type="dxa"/>
            </w:tcMar>
            <w:vAlign w:val="center"/>
          </w:tcPr>
          <w:p w14:paraId="0C9591E8"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Appropriation for the welfare fund</w:t>
            </w:r>
          </w:p>
        </w:tc>
        <w:tc>
          <w:tcPr>
            <w:tcW w:w="668" w:type="pct"/>
            <w:shd w:val="clear" w:color="auto" w:fill="auto"/>
            <w:tcMar>
              <w:top w:w="0" w:type="dxa"/>
              <w:bottom w:w="0" w:type="dxa"/>
            </w:tcMar>
            <w:vAlign w:val="center"/>
          </w:tcPr>
          <w:p w14:paraId="610B1DD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w:t>
            </w:r>
          </w:p>
        </w:tc>
        <w:tc>
          <w:tcPr>
            <w:tcW w:w="1268" w:type="pct"/>
            <w:shd w:val="clear" w:color="auto" w:fill="auto"/>
            <w:tcMar>
              <w:top w:w="0" w:type="dxa"/>
              <w:bottom w:w="0" w:type="dxa"/>
            </w:tcMar>
            <w:vAlign w:val="center"/>
          </w:tcPr>
          <w:p w14:paraId="0285840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389,438,013</w:t>
            </w:r>
          </w:p>
        </w:tc>
      </w:tr>
      <w:tr w:rsidR="00C8395E" w:rsidRPr="007020AA" w14:paraId="2E1418A5" w14:textId="77777777" w:rsidTr="00D97E0D">
        <w:tc>
          <w:tcPr>
            <w:tcW w:w="382" w:type="pct"/>
            <w:shd w:val="clear" w:color="auto" w:fill="auto"/>
            <w:tcMar>
              <w:top w:w="0" w:type="dxa"/>
              <w:bottom w:w="0" w:type="dxa"/>
            </w:tcMar>
            <w:vAlign w:val="center"/>
          </w:tcPr>
          <w:p w14:paraId="2495B0B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4.</w:t>
            </w:r>
          </w:p>
        </w:tc>
        <w:tc>
          <w:tcPr>
            <w:tcW w:w="2682" w:type="pct"/>
            <w:shd w:val="clear" w:color="auto" w:fill="auto"/>
            <w:tcMar>
              <w:top w:w="0" w:type="dxa"/>
              <w:bottom w:w="0" w:type="dxa"/>
            </w:tcMar>
            <w:vAlign w:val="center"/>
          </w:tcPr>
          <w:p w14:paraId="1DAA102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Appropriation for development investment fund</w:t>
            </w:r>
          </w:p>
        </w:tc>
        <w:tc>
          <w:tcPr>
            <w:tcW w:w="668" w:type="pct"/>
            <w:shd w:val="clear" w:color="auto" w:fill="auto"/>
            <w:tcMar>
              <w:top w:w="0" w:type="dxa"/>
              <w:bottom w:w="0" w:type="dxa"/>
            </w:tcMar>
            <w:vAlign w:val="center"/>
          </w:tcPr>
          <w:p w14:paraId="2039E18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5</w:t>
            </w:r>
          </w:p>
        </w:tc>
        <w:tc>
          <w:tcPr>
            <w:tcW w:w="1268" w:type="pct"/>
            <w:shd w:val="clear" w:color="auto" w:fill="auto"/>
            <w:tcMar>
              <w:top w:w="0" w:type="dxa"/>
              <w:bottom w:w="0" w:type="dxa"/>
            </w:tcMar>
            <w:vAlign w:val="center"/>
          </w:tcPr>
          <w:p w14:paraId="678D2D6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1,947,190,066</w:t>
            </w:r>
          </w:p>
        </w:tc>
      </w:tr>
    </w:tbl>
    <w:p w14:paraId="54024350" w14:textId="77777777" w:rsidR="00C8395E" w:rsidRPr="007020AA" w:rsidRDefault="004D6D03" w:rsidP="00D97E0D">
      <w:pPr>
        <w:numPr>
          <w:ilvl w:val="0"/>
          <w:numId w:val="47"/>
        </w:numPr>
        <w:pBdr>
          <w:top w:val="nil"/>
          <w:left w:val="nil"/>
          <w:bottom w:val="nil"/>
          <w:right w:val="nil"/>
          <w:between w:val="nil"/>
        </w:pBdr>
        <w:tabs>
          <w:tab w:val="left" w:pos="360"/>
          <w:tab w:val="left" w:pos="450"/>
        </w:tabs>
        <w:spacing w:after="120" w:line="360" w:lineRule="auto"/>
        <w:ind w:left="0" w:firstLine="0"/>
        <w:rPr>
          <w:rFonts w:ascii="Arial" w:eastAsia="Arial" w:hAnsi="Arial" w:cs="Arial"/>
          <w:color w:val="010000"/>
          <w:sz w:val="20"/>
          <w:szCs w:val="20"/>
        </w:rPr>
      </w:pPr>
      <w:r w:rsidRPr="007020AA">
        <w:rPr>
          <w:rFonts w:ascii="Arial" w:hAnsi="Arial" w:cs="Arial"/>
          <w:color w:val="010000"/>
          <w:sz w:val="20"/>
        </w:rPr>
        <w:t>Approve the expected production and business plan for 2024:</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2927"/>
        <w:gridCol w:w="1529"/>
        <w:gridCol w:w="2023"/>
        <w:gridCol w:w="1888"/>
      </w:tblGrid>
      <w:tr w:rsidR="00C8395E" w:rsidRPr="007020AA" w14:paraId="285E1D53" w14:textId="77777777" w:rsidTr="00D97E0D">
        <w:tc>
          <w:tcPr>
            <w:tcW w:w="360" w:type="pct"/>
            <w:shd w:val="clear" w:color="auto" w:fill="auto"/>
            <w:tcMar>
              <w:top w:w="0" w:type="dxa"/>
              <w:bottom w:w="0" w:type="dxa"/>
            </w:tcMar>
            <w:vAlign w:val="center"/>
          </w:tcPr>
          <w:p w14:paraId="75DD37F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No.</w:t>
            </w:r>
          </w:p>
        </w:tc>
        <w:tc>
          <w:tcPr>
            <w:tcW w:w="1623" w:type="pct"/>
            <w:shd w:val="clear" w:color="auto" w:fill="auto"/>
            <w:tcMar>
              <w:top w:w="0" w:type="dxa"/>
              <w:bottom w:w="0" w:type="dxa"/>
            </w:tcMar>
            <w:vAlign w:val="center"/>
          </w:tcPr>
          <w:p w14:paraId="42B7F74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Targets</w:t>
            </w:r>
          </w:p>
        </w:tc>
        <w:tc>
          <w:tcPr>
            <w:tcW w:w="848" w:type="pct"/>
            <w:shd w:val="clear" w:color="auto" w:fill="auto"/>
            <w:tcMar>
              <w:top w:w="0" w:type="dxa"/>
              <w:bottom w:w="0" w:type="dxa"/>
            </w:tcMar>
            <w:vAlign w:val="center"/>
          </w:tcPr>
          <w:p w14:paraId="26958F98"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Unit</w:t>
            </w:r>
          </w:p>
        </w:tc>
        <w:tc>
          <w:tcPr>
            <w:tcW w:w="1122" w:type="pct"/>
            <w:shd w:val="clear" w:color="auto" w:fill="auto"/>
            <w:tcMar>
              <w:top w:w="0" w:type="dxa"/>
              <w:bottom w:w="0" w:type="dxa"/>
            </w:tcMar>
            <w:vAlign w:val="center"/>
          </w:tcPr>
          <w:p w14:paraId="52B29448" w14:textId="3002875C"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Holding Company</w:t>
            </w:r>
          </w:p>
        </w:tc>
        <w:tc>
          <w:tcPr>
            <w:tcW w:w="1047" w:type="pct"/>
            <w:shd w:val="clear" w:color="auto" w:fill="auto"/>
            <w:tcMar>
              <w:top w:w="0" w:type="dxa"/>
              <w:bottom w:w="0" w:type="dxa"/>
            </w:tcMar>
            <w:vAlign w:val="center"/>
          </w:tcPr>
          <w:p w14:paraId="27EF74BC" w14:textId="2F1BE358"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Consolidated</w:t>
            </w:r>
          </w:p>
        </w:tc>
      </w:tr>
      <w:tr w:rsidR="00C8395E" w:rsidRPr="007020AA" w14:paraId="3406B38D" w14:textId="77777777" w:rsidTr="00D97E0D">
        <w:tc>
          <w:tcPr>
            <w:tcW w:w="360" w:type="pct"/>
            <w:shd w:val="clear" w:color="auto" w:fill="auto"/>
            <w:tcMar>
              <w:top w:w="0" w:type="dxa"/>
              <w:bottom w:w="0" w:type="dxa"/>
            </w:tcMar>
            <w:vAlign w:val="center"/>
          </w:tcPr>
          <w:p w14:paraId="3D97C88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1</w:t>
            </w:r>
          </w:p>
        </w:tc>
        <w:tc>
          <w:tcPr>
            <w:tcW w:w="1623" w:type="pct"/>
            <w:shd w:val="clear" w:color="auto" w:fill="auto"/>
            <w:tcMar>
              <w:top w:w="0" w:type="dxa"/>
              <w:bottom w:w="0" w:type="dxa"/>
            </w:tcMar>
            <w:vAlign w:val="center"/>
          </w:tcPr>
          <w:p w14:paraId="02F3BE0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Revenue</w:t>
            </w:r>
          </w:p>
        </w:tc>
        <w:tc>
          <w:tcPr>
            <w:tcW w:w="848" w:type="pct"/>
            <w:shd w:val="clear" w:color="auto" w:fill="auto"/>
            <w:tcMar>
              <w:top w:w="0" w:type="dxa"/>
              <w:bottom w:w="0" w:type="dxa"/>
            </w:tcMar>
            <w:vAlign w:val="center"/>
          </w:tcPr>
          <w:p w14:paraId="5BCED39C"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122" w:type="pct"/>
            <w:shd w:val="clear" w:color="auto" w:fill="auto"/>
            <w:tcMar>
              <w:top w:w="0" w:type="dxa"/>
              <w:bottom w:w="0" w:type="dxa"/>
            </w:tcMar>
            <w:vAlign w:val="center"/>
          </w:tcPr>
          <w:p w14:paraId="2898EE2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4,300</w:t>
            </w:r>
          </w:p>
        </w:tc>
        <w:tc>
          <w:tcPr>
            <w:tcW w:w="1047" w:type="pct"/>
            <w:shd w:val="clear" w:color="auto" w:fill="auto"/>
            <w:tcMar>
              <w:top w:w="0" w:type="dxa"/>
              <w:bottom w:w="0" w:type="dxa"/>
            </w:tcMar>
            <w:vAlign w:val="center"/>
          </w:tcPr>
          <w:p w14:paraId="0DF61169"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7,100</w:t>
            </w:r>
          </w:p>
        </w:tc>
      </w:tr>
      <w:tr w:rsidR="00C8395E" w:rsidRPr="007020AA" w14:paraId="05F1A996" w14:textId="77777777" w:rsidTr="00D97E0D">
        <w:tc>
          <w:tcPr>
            <w:tcW w:w="360" w:type="pct"/>
            <w:shd w:val="clear" w:color="auto" w:fill="auto"/>
            <w:tcMar>
              <w:top w:w="0" w:type="dxa"/>
              <w:bottom w:w="0" w:type="dxa"/>
            </w:tcMar>
            <w:vAlign w:val="center"/>
          </w:tcPr>
          <w:p w14:paraId="0022E9D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w:t>
            </w:r>
          </w:p>
        </w:tc>
        <w:tc>
          <w:tcPr>
            <w:tcW w:w="1623" w:type="pct"/>
            <w:shd w:val="clear" w:color="auto" w:fill="auto"/>
            <w:tcMar>
              <w:top w:w="0" w:type="dxa"/>
              <w:bottom w:w="0" w:type="dxa"/>
            </w:tcMar>
            <w:vAlign w:val="center"/>
          </w:tcPr>
          <w:p w14:paraId="56727B41"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Profit before tax</w:t>
            </w:r>
          </w:p>
        </w:tc>
        <w:tc>
          <w:tcPr>
            <w:tcW w:w="848" w:type="pct"/>
            <w:shd w:val="clear" w:color="auto" w:fill="auto"/>
            <w:tcMar>
              <w:top w:w="0" w:type="dxa"/>
              <w:bottom w:w="0" w:type="dxa"/>
            </w:tcMar>
            <w:vAlign w:val="center"/>
          </w:tcPr>
          <w:p w14:paraId="00EF60C2"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122" w:type="pct"/>
            <w:shd w:val="clear" w:color="auto" w:fill="auto"/>
            <w:tcMar>
              <w:top w:w="0" w:type="dxa"/>
              <w:bottom w:w="0" w:type="dxa"/>
            </w:tcMar>
            <w:vAlign w:val="center"/>
          </w:tcPr>
          <w:p w14:paraId="7A5FA2C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40</w:t>
            </w:r>
          </w:p>
        </w:tc>
        <w:tc>
          <w:tcPr>
            <w:tcW w:w="1047" w:type="pct"/>
            <w:shd w:val="clear" w:color="auto" w:fill="auto"/>
            <w:tcMar>
              <w:top w:w="0" w:type="dxa"/>
              <w:bottom w:w="0" w:type="dxa"/>
            </w:tcMar>
            <w:vAlign w:val="center"/>
          </w:tcPr>
          <w:p w14:paraId="41F598BF"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70</w:t>
            </w:r>
          </w:p>
        </w:tc>
      </w:tr>
      <w:tr w:rsidR="00C8395E" w:rsidRPr="007020AA" w14:paraId="6149E727" w14:textId="77777777" w:rsidTr="00D97E0D">
        <w:tc>
          <w:tcPr>
            <w:tcW w:w="360" w:type="pct"/>
            <w:shd w:val="clear" w:color="auto" w:fill="auto"/>
            <w:tcMar>
              <w:top w:w="0" w:type="dxa"/>
              <w:bottom w:w="0" w:type="dxa"/>
            </w:tcMar>
            <w:vAlign w:val="center"/>
          </w:tcPr>
          <w:p w14:paraId="23039CEF"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3</w:t>
            </w:r>
          </w:p>
        </w:tc>
        <w:tc>
          <w:tcPr>
            <w:tcW w:w="1623" w:type="pct"/>
            <w:shd w:val="clear" w:color="auto" w:fill="auto"/>
            <w:tcMar>
              <w:top w:w="0" w:type="dxa"/>
              <w:bottom w:w="0" w:type="dxa"/>
            </w:tcMar>
            <w:vAlign w:val="center"/>
          </w:tcPr>
          <w:p w14:paraId="5CA8549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Corporate income tax</w:t>
            </w:r>
          </w:p>
        </w:tc>
        <w:tc>
          <w:tcPr>
            <w:tcW w:w="848" w:type="pct"/>
            <w:shd w:val="clear" w:color="auto" w:fill="auto"/>
            <w:tcMar>
              <w:top w:w="0" w:type="dxa"/>
              <w:bottom w:w="0" w:type="dxa"/>
            </w:tcMar>
            <w:vAlign w:val="center"/>
          </w:tcPr>
          <w:p w14:paraId="40C10D0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122" w:type="pct"/>
            <w:shd w:val="clear" w:color="auto" w:fill="auto"/>
            <w:tcMar>
              <w:top w:w="0" w:type="dxa"/>
              <w:bottom w:w="0" w:type="dxa"/>
            </w:tcMar>
            <w:vAlign w:val="center"/>
          </w:tcPr>
          <w:p w14:paraId="491E8569"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8</w:t>
            </w:r>
          </w:p>
        </w:tc>
        <w:tc>
          <w:tcPr>
            <w:tcW w:w="1047" w:type="pct"/>
            <w:shd w:val="clear" w:color="auto" w:fill="auto"/>
            <w:tcMar>
              <w:top w:w="0" w:type="dxa"/>
              <w:bottom w:w="0" w:type="dxa"/>
            </w:tcMar>
            <w:vAlign w:val="center"/>
          </w:tcPr>
          <w:p w14:paraId="32F0F73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14</w:t>
            </w:r>
          </w:p>
        </w:tc>
      </w:tr>
      <w:tr w:rsidR="00C8395E" w:rsidRPr="007020AA" w14:paraId="5C90C898" w14:textId="77777777" w:rsidTr="00D97E0D">
        <w:tc>
          <w:tcPr>
            <w:tcW w:w="360" w:type="pct"/>
            <w:shd w:val="clear" w:color="auto" w:fill="auto"/>
            <w:tcMar>
              <w:top w:w="0" w:type="dxa"/>
              <w:bottom w:w="0" w:type="dxa"/>
            </w:tcMar>
            <w:vAlign w:val="center"/>
          </w:tcPr>
          <w:p w14:paraId="6B35B701"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4</w:t>
            </w:r>
          </w:p>
        </w:tc>
        <w:tc>
          <w:tcPr>
            <w:tcW w:w="1623" w:type="pct"/>
            <w:shd w:val="clear" w:color="auto" w:fill="auto"/>
            <w:tcMar>
              <w:top w:w="0" w:type="dxa"/>
              <w:bottom w:w="0" w:type="dxa"/>
            </w:tcMar>
            <w:vAlign w:val="center"/>
          </w:tcPr>
          <w:p w14:paraId="06BA9A87"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Profit after tax</w:t>
            </w:r>
          </w:p>
        </w:tc>
        <w:tc>
          <w:tcPr>
            <w:tcW w:w="848" w:type="pct"/>
            <w:shd w:val="clear" w:color="auto" w:fill="auto"/>
            <w:tcMar>
              <w:top w:w="0" w:type="dxa"/>
              <w:bottom w:w="0" w:type="dxa"/>
            </w:tcMar>
            <w:vAlign w:val="center"/>
          </w:tcPr>
          <w:p w14:paraId="3FC6D594"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Billion VND</w:t>
            </w:r>
          </w:p>
        </w:tc>
        <w:tc>
          <w:tcPr>
            <w:tcW w:w="1122" w:type="pct"/>
            <w:shd w:val="clear" w:color="auto" w:fill="auto"/>
            <w:tcMar>
              <w:top w:w="0" w:type="dxa"/>
              <w:bottom w:w="0" w:type="dxa"/>
            </w:tcMar>
            <w:vAlign w:val="center"/>
          </w:tcPr>
          <w:p w14:paraId="49FC72DF"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32</w:t>
            </w:r>
          </w:p>
        </w:tc>
        <w:tc>
          <w:tcPr>
            <w:tcW w:w="1047" w:type="pct"/>
            <w:shd w:val="clear" w:color="auto" w:fill="auto"/>
            <w:tcMar>
              <w:top w:w="0" w:type="dxa"/>
              <w:bottom w:w="0" w:type="dxa"/>
            </w:tcMar>
            <w:vAlign w:val="center"/>
          </w:tcPr>
          <w:p w14:paraId="74CFA24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right"/>
              <w:rPr>
                <w:rFonts w:ascii="Arial" w:eastAsia="Arial" w:hAnsi="Arial" w:cs="Arial"/>
                <w:color w:val="010000"/>
                <w:sz w:val="20"/>
                <w:szCs w:val="20"/>
              </w:rPr>
            </w:pPr>
            <w:r w:rsidRPr="007020AA">
              <w:rPr>
                <w:rFonts w:ascii="Arial" w:hAnsi="Arial" w:cs="Arial"/>
                <w:color w:val="010000"/>
                <w:sz w:val="20"/>
              </w:rPr>
              <w:t>56</w:t>
            </w:r>
          </w:p>
        </w:tc>
      </w:tr>
    </w:tbl>
    <w:p w14:paraId="396C4A8F" w14:textId="77777777" w:rsidR="00C8395E" w:rsidRPr="007020AA" w:rsidRDefault="004D6D03" w:rsidP="00D97E0D">
      <w:pPr>
        <w:numPr>
          <w:ilvl w:val="0"/>
          <w:numId w:val="47"/>
        </w:numPr>
        <w:pBdr>
          <w:top w:val="nil"/>
          <w:left w:val="nil"/>
          <w:bottom w:val="nil"/>
          <w:right w:val="nil"/>
          <w:between w:val="nil"/>
        </w:pBdr>
        <w:tabs>
          <w:tab w:val="left" w:pos="360"/>
          <w:tab w:val="left" w:pos="450"/>
        </w:tabs>
        <w:spacing w:after="120" w:line="360" w:lineRule="auto"/>
        <w:ind w:left="0" w:firstLine="0"/>
        <w:rPr>
          <w:rFonts w:ascii="Arial" w:eastAsia="Arial" w:hAnsi="Arial" w:cs="Arial"/>
          <w:color w:val="010000"/>
          <w:sz w:val="20"/>
          <w:szCs w:val="20"/>
        </w:rPr>
      </w:pPr>
      <w:r w:rsidRPr="007020AA">
        <w:rPr>
          <w:rFonts w:ascii="Arial" w:hAnsi="Arial" w:cs="Arial"/>
          <w:color w:val="010000"/>
          <w:sz w:val="20"/>
        </w:rPr>
        <w:t>Approve the expected appropriation for funds in 2024 from profit after tax:</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7"/>
        <w:gridCol w:w="3127"/>
        <w:gridCol w:w="5233"/>
      </w:tblGrid>
      <w:tr w:rsidR="00C8395E" w:rsidRPr="007020AA" w14:paraId="2911D053" w14:textId="77777777" w:rsidTr="00D97E0D">
        <w:tc>
          <w:tcPr>
            <w:tcW w:w="364" w:type="pct"/>
            <w:shd w:val="clear" w:color="auto" w:fill="auto"/>
            <w:tcMar>
              <w:top w:w="0" w:type="dxa"/>
              <w:bottom w:w="0" w:type="dxa"/>
            </w:tcMar>
            <w:vAlign w:val="center"/>
          </w:tcPr>
          <w:p w14:paraId="0A75138A"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No.</w:t>
            </w:r>
          </w:p>
        </w:tc>
        <w:tc>
          <w:tcPr>
            <w:tcW w:w="1734" w:type="pct"/>
            <w:shd w:val="clear" w:color="auto" w:fill="auto"/>
            <w:tcMar>
              <w:top w:w="0" w:type="dxa"/>
              <w:bottom w:w="0" w:type="dxa"/>
            </w:tcMar>
            <w:vAlign w:val="center"/>
          </w:tcPr>
          <w:p w14:paraId="487B4277"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Fund name</w:t>
            </w:r>
          </w:p>
        </w:tc>
        <w:tc>
          <w:tcPr>
            <w:tcW w:w="2902" w:type="pct"/>
            <w:shd w:val="clear" w:color="auto" w:fill="auto"/>
            <w:tcMar>
              <w:top w:w="0" w:type="dxa"/>
              <w:bottom w:w="0" w:type="dxa"/>
            </w:tcMar>
            <w:vAlign w:val="center"/>
          </w:tcPr>
          <w:p w14:paraId="3BB1A4F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jc w:val="center"/>
              <w:rPr>
                <w:rFonts w:ascii="Arial" w:eastAsia="Arial" w:hAnsi="Arial" w:cs="Arial"/>
                <w:color w:val="010000"/>
                <w:sz w:val="20"/>
                <w:szCs w:val="20"/>
              </w:rPr>
            </w:pPr>
            <w:r w:rsidRPr="007020AA">
              <w:rPr>
                <w:rFonts w:ascii="Arial" w:hAnsi="Arial" w:cs="Arial"/>
                <w:color w:val="010000"/>
                <w:sz w:val="20"/>
              </w:rPr>
              <w:t>Appropriation rate</w:t>
            </w:r>
          </w:p>
        </w:tc>
      </w:tr>
      <w:tr w:rsidR="00C8395E" w:rsidRPr="007020AA" w14:paraId="074252D1" w14:textId="77777777" w:rsidTr="004D6D03">
        <w:tc>
          <w:tcPr>
            <w:tcW w:w="364" w:type="pct"/>
            <w:shd w:val="clear" w:color="auto" w:fill="auto"/>
            <w:tcMar>
              <w:top w:w="0" w:type="dxa"/>
              <w:bottom w:w="0" w:type="dxa"/>
            </w:tcMar>
            <w:vAlign w:val="center"/>
          </w:tcPr>
          <w:p w14:paraId="2B71D606"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1.</w:t>
            </w:r>
          </w:p>
        </w:tc>
        <w:tc>
          <w:tcPr>
            <w:tcW w:w="1734" w:type="pct"/>
            <w:shd w:val="clear" w:color="auto" w:fill="auto"/>
            <w:tcMar>
              <w:top w:w="0" w:type="dxa"/>
              <w:bottom w:w="0" w:type="dxa"/>
            </w:tcMar>
            <w:vAlign w:val="center"/>
          </w:tcPr>
          <w:p w14:paraId="492C5DCD"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Bonus fund</w:t>
            </w:r>
          </w:p>
        </w:tc>
        <w:tc>
          <w:tcPr>
            <w:tcW w:w="2902" w:type="pct"/>
            <w:shd w:val="clear" w:color="auto" w:fill="auto"/>
            <w:tcMar>
              <w:top w:w="0" w:type="dxa"/>
              <w:bottom w:w="0" w:type="dxa"/>
            </w:tcMar>
            <w:vAlign w:val="center"/>
          </w:tcPr>
          <w:p w14:paraId="46174F19"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No more than 5% of profit after tax</w:t>
            </w:r>
          </w:p>
        </w:tc>
      </w:tr>
      <w:tr w:rsidR="00C8395E" w:rsidRPr="007020AA" w14:paraId="2F4DA452" w14:textId="77777777" w:rsidTr="004D6D03">
        <w:tc>
          <w:tcPr>
            <w:tcW w:w="364" w:type="pct"/>
            <w:shd w:val="clear" w:color="auto" w:fill="auto"/>
            <w:tcMar>
              <w:top w:w="0" w:type="dxa"/>
              <w:bottom w:w="0" w:type="dxa"/>
            </w:tcMar>
            <w:vAlign w:val="center"/>
          </w:tcPr>
          <w:p w14:paraId="166FE283"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2.</w:t>
            </w:r>
          </w:p>
        </w:tc>
        <w:tc>
          <w:tcPr>
            <w:tcW w:w="1734" w:type="pct"/>
            <w:shd w:val="clear" w:color="auto" w:fill="auto"/>
            <w:tcMar>
              <w:top w:w="0" w:type="dxa"/>
              <w:bottom w:w="0" w:type="dxa"/>
            </w:tcMar>
            <w:vAlign w:val="center"/>
          </w:tcPr>
          <w:p w14:paraId="5D51731C"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Welfare fund</w:t>
            </w:r>
          </w:p>
        </w:tc>
        <w:tc>
          <w:tcPr>
            <w:tcW w:w="2902" w:type="pct"/>
            <w:shd w:val="clear" w:color="auto" w:fill="auto"/>
            <w:tcMar>
              <w:top w:w="0" w:type="dxa"/>
              <w:bottom w:w="0" w:type="dxa"/>
            </w:tcMar>
            <w:vAlign w:val="center"/>
          </w:tcPr>
          <w:p w14:paraId="18B9E9DE"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No more than 5% of profit after tax</w:t>
            </w:r>
          </w:p>
        </w:tc>
      </w:tr>
      <w:tr w:rsidR="00C8395E" w:rsidRPr="007020AA" w14:paraId="293A3940" w14:textId="77777777" w:rsidTr="004D6D03">
        <w:tc>
          <w:tcPr>
            <w:tcW w:w="364" w:type="pct"/>
            <w:shd w:val="clear" w:color="auto" w:fill="auto"/>
            <w:tcMar>
              <w:top w:w="0" w:type="dxa"/>
              <w:bottom w:w="0" w:type="dxa"/>
            </w:tcMar>
            <w:vAlign w:val="center"/>
          </w:tcPr>
          <w:p w14:paraId="50A599E2"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3.</w:t>
            </w:r>
          </w:p>
        </w:tc>
        <w:tc>
          <w:tcPr>
            <w:tcW w:w="1734" w:type="pct"/>
            <w:shd w:val="clear" w:color="auto" w:fill="auto"/>
            <w:tcMar>
              <w:top w:w="0" w:type="dxa"/>
              <w:bottom w:w="0" w:type="dxa"/>
            </w:tcMar>
            <w:vAlign w:val="center"/>
          </w:tcPr>
          <w:p w14:paraId="7C0D4080"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Investment and development fund</w:t>
            </w:r>
          </w:p>
        </w:tc>
        <w:tc>
          <w:tcPr>
            <w:tcW w:w="2902" w:type="pct"/>
            <w:shd w:val="clear" w:color="auto" w:fill="auto"/>
            <w:tcMar>
              <w:top w:w="0" w:type="dxa"/>
              <w:bottom w:w="0" w:type="dxa"/>
            </w:tcMar>
            <w:vAlign w:val="center"/>
          </w:tcPr>
          <w:p w14:paraId="237060B1" w14:textId="77777777" w:rsidR="00C8395E" w:rsidRPr="007020AA" w:rsidRDefault="004D6D03" w:rsidP="00D97E0D">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7020AA">
              <w:rPr>
                <w:rFonts w:ascii="Arial" w:hAnsi="Arial" w:cs="Arial"/>
                <w:color w:val="010000"/>
                <w:sz w:val="20"/>
              </w:rPr>
              <w:t>No more than 10% of profit after tax</w:t>
            </w:r>
          </w:p>
        </w:tc>
      </w:tr>
    </w:tbl>
    <w:p w14:paraId="39B302A6" w14:textId="77777777" w:rsidR="00C8395E" w:rsidRPr="007020AA" w:rsidRDefault="004D6D03" w:rsidP="007B6C59">
      <w:pPr>
        <w:numPr>
          <w:ilvl w:val="0"/>
          <w:numId w:val="51"/>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Authorize the Board of Directors of the Company: Decide on the time to distribute profits and make appropriation for funds in 2023 in accordance with the Company's production and business situation.</w:t>
      </w:r>
    </w:p>
    <w:p w14:paraId="23796F33" w14:textId="77777777" w:rsidR="00C8395E" w:rsidRPr="007020AA" w:rsidRDefault="004D6D03" w:rsidP="007B6C59">
      <w:pPr>
        <w:numPr>
          <w:ilvl w:val="1"/>
          <w:numId w:val="12"/>
        </w:numPr>
        <w:pBdr>
          <w:top w:val="nil"/>
          <w:left w:val="nil"/>
          <w:bottom w:val="nil"/>
          <w:right w:val="nil"/>
          <w:between w:val="nil"/>
        </w:pBdr>
        <w:tabs>
          <w:tab w:val="left" w:pos="360"/>
          <w:tab w:val="left" w:pos="450"/>
          <w:tab w:val="left" w:pos="581"/>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settlement of remuneration of the Board of Directors and Supervisory Board in 2023 and the Remuneration Plan of the Board of Directors and Supervisory Board in 2024.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04ABC9A7" w14:textId="28D3BD69" w:rsidR="00C8395E" w:rsidRPr="007020AA" w:rsidRDefault="00D97E0D" w:rsidP="007B6C59">
      <w:pPr>
        <w:numPr>
          <w:ilvl w:val="0"/>
          <w:numId w:val="39"/>
        </w:numPr>
        <w:pBdr>
          <w:top w:val="nil"/>
          <w:left w:val="nil"/>
          <w:bottom w:val="nil"/>
          <w:right w:val="nil"/>
          <w:between w:val="nil"/>
        </w:pBdr>
        <w:tabs>
          <w:tab w:val="left" w:pos="360"/>
          <w:tab w:val="left" w:pos="450"/>
          <w:tab w:val="left" w:pos="671"/>
        </w:tabs>
        <w:spacing w:after="120" w:line="360" w:lineRule="auto"/>
        <w:jc w:val="both"/>
        <w:rPr>
          <w:rFonts w:ascii="Arial" w:eastAsia="Arial" w:hAnsi="Arial" w:cs="Arial"/>
          <w:color w:val="010000"/>
          <w:sz w:val="20"/>
          <w:szCs w:val="20"/>
        </w:rPr>
      </w:pPr>
      <w:r w:rsidRPr="007020AA">
        <w:rPr>
          <w:rFonts w:ascii="Arial" w:hAnsi="Arial" w:cs="Arial"/>
          <w:color w:val="010000"/>
          <w:sz w:val="20"/>
        </w:rPr>
        <w:t>S</w:t>
      </w:r>
      <w:r w:rsidR="004D6D03" w:rsidRPr="007020AA">
        <w:rPr>
          <w:rFonts w:ascii="Arial" w:hAnsi="Arial" w:cs="Arial"/>
          <w:color w:val="010000"/>
          <w:sz w:val="20"/>
        </w:rPr>
        <w:t>ettlement of remuneration of the Board of Directors and Supervisory Board in 2023</w:t>
      </w:r>
    </w:p>
    <w:p w14:paraId="4D63C224" w14:textId="127DD1A7" w:rsidR="00C8395E" w:rsidRPr="007020AA" w:rsidRDefault="004D6D03" w:rsidP="007B6C59">
      <w:pPr>
        <w:numPr>
          <w:ilvl w:val="0"/>
          <w:numId w:val="52"/>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The remuneration of the Board of Directors and Supervisory Board approved by the Annual </w:t>
      </w:r>
      <w:r w:rsidR="006054CD">
        <w:rPr>
          <w:rFonts w:ascii="Arial" w:hAnsi="Arial" w:cs="Arial"/>
          <w:color w:val="010000"/>
          <w:sz w:val="20"/>
        </w:rPr>
        <w:t>General Meeting</w:t>
      </w:r>
      <w:r w:rsidRPr="007020AA">
        <w:rPr>
          <w:rFonts w:ascii="Arial" w:hAnsi="Arial" w:cs="Arial"/>
          <w:color w:val="010000"/>
          <w:sz w:val="20"/>
        </w:rPr>
        <w:t xml:space="preserve"> 2023 is: 3% of profit after tax of the Audited Financial Statements, equivalent to VND 3,953,983,240.</w:t>
      </w:r>
    </w:p>
    <w:p w14:paraId="071BBAF2" w14:textId="77777777" w:rsidR="00C8395E" w:rsidRPr="007020AA" w:rsidRDefault="004D6D03" w:rsidP="007B6C59">
      <w:pPr>
        <w:numPr>
          <w:ilvl w:val="0"/>
          <w:numId w:val="52"/>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Payment of remuneration to the Board of Directors and Supervisory Board in 2023 is: VND 456,000,000.</w:t>
      </w:r>
    </w:p>
    <w:p w14:paraId="4DDF7D8D" w14:textId="77777777" w:rsidR="00C8395E" w:rsidRPr="007020AA" w:rsidRDefault="004D6D03" w:rsidP="007B6C59">
      <w:pPr>
        <w:numPr>
          <w:ilvl w:val="0"/>
          <w:numId w:val="52"/>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Thus, the actual remuneration paid to the Board of Directors and Supervisory Board in 2023 reaches 11.5% of the plan.</w:t>
      </w:r>
    </w:p>
    <w:p w14:paraId="11E06770" w14:textId="77777777" w:rsidR="00C8395E" w:rsidRPr="007020AA" w:rsidRDefault="004D6D03" w:rsidP="007B6C59">
      <w:pPr>
        <w:numPr>
          <w:ilvl w:val="0"/>
          <w:numId w:val="1"/>
        </w:numPr>
        <w:pBdr>
          <w:top w:val="nil"/>
          <w:left w:val="nil"/>
          <w:bottom w:val="nil"/>
          <w:right w:val="nil"/>
          <w:between w:val="nil"/>
        </w:pBdr>
        <w:tabs>
          <w:tab w:val="left" w:pos="360"/>
          <w:tab w:val="left" w:pos="450"/>
          <w:tab w:val="left" w:pos="671"/>
        </w:tabs>
        <w:spacing w:after="120" w:line="360" w:lineRule="auto"/>
        <w:jc w:val="both"/>
        <w:rPr>
          <w:rFonts w:ascii="Arial" w:hAnsi="Arial" w:cs="Arial"/>
          <w:color w:val="010000"/>
          <w:sz w:val="20"/>
          <w:szCs w:val="20"/>
        </w:rPr>
      </w:pPr>
      <w:r w:rsidRPr="007020AA">
        <w:rPr>
          <w:rFonts w:ascii="Arial" w:hAnsi="Arial" w:cs="Arial"/>
          <w:color w:val="010000"/>
          <w:sz w:val="20"/>
        </w:rPr>
        <w:t>Remuneration plan for the Board of Directors and Supervisory Board in 2024</w:t>
      </w:r>
    </w:p>
    <w:p w14:paraId="68ECE5AA" w14:textId="77777777" w:rsidR="00C8395E" w:rsidRPr="007020AA" w:rsidRDefault="004D6D03" w:rsidP="007B6C59">
      <w:pPr>
        <w:numPr>
          <w:ilvl w:val="0"/>
          <w:numId w:val="41"/>
        </w:numPr>
        <w:pBdr>
          <w:top w:val="nil"/>
          <w:left w:val="nil"/>
          <w:bottom w:val="nil"/>
          <w:right w:val="nil"/>
          <w:between w:val="nil"/>
        </w:pBdr>
        <w:tabs>
          <w:tab w:val="left" w:pos="360"/>
          <w:tab w:val="left" w:pos="450"/>
          <w:tab w:val="left" w:pos="1054"/>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Remuneration of the Board of Directors and the Supervisory Board have a maximum expenditure not exceeding 3% of profit after tax of the Audited Financial Statements.</w:t>
      </w:r>
    </w:p>
    <w:p w14:paraId="63338A84" w14:textId="77777777" w:rsidR="00C8395E" w:rsidRPr="007020AA" w:rsidRDefault="004D6D03" w:rsidP="007B6C59">
      <w:pPr>
        <w:numPr>
          <w:ilvl w:val="0"/>
          <w:numId w:val="41"/>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Authorize the Chair of the Board of Directors and the Board of Management of the Company to </w:t>
      </w:r>
      <w:r w:rsidRPr="007020AA">
        <w:rPr>
          <w:rFonts w:ascii="Arial" w:hAnsi="Arial" w:cs="Arial"/>
          <w:color w:val="010000"/>
          <w:sz w:val="20"/>
        </w:rPr>
        <w:lastRenderedPageBreak/>
        <w:t>decide on the form and specific remuneration levels of members of the Board of Directors and the Supervisory Board based on the functions and duties of each tasks to distribute accordingly.</w:t>
      </w:r>
    </w:p>
    <w:p w14:paraId="4B55C909" w14:textId="77777777" w:rsidR="00C8395E" w:rsidRPr="007020AA" w:rsidRDefault="004D6D03" w:rsidP="007B6C59">
      <w:pPr>
        <w:numPr>
          <w:ilvl w:val="1"/>
          <w:numId w:val="12"/>
        </w:numPr>
        <w:pBdr>
          <w:top w:val="nil"/>
          <w:left w:val="nil"/>
          <w:bottom w:val="nil"/>
          <w:right w:val="nil"/>
          <w:between w:val="nil"/>
        </w:pBdr>
        <w:tabs>
          <w:tab w:val="left" w:pos="360"/>
          <w:tab w:val="left" w:pos="450"/>
        </w:tabs>
        <w:spacing w:after="120" w:line="360" w:lineRule="auto"/>
        <w:jc w:val="both"/>
        <w:rPr>
          <w:rFonts w:ascii="Arial" w:hAnsi="Arial" w:cs="Arial"/>
          <w:color w:val="010000"/>
          <w:sz w:val="20"/>
          <w:szCs w:val="20"/>
        </w:rPr>
      </w:pPr>
      <w:r w:rsidRPr="007020AA">
        <w:rPr>
          <w:rFonts w:ascii="Arial" w:hAnsi="Arial" w:cs="Arial"/>
          <w:color w:val="010000"/>
          <w:sz w:val="20"/>
        </w:rPr>
        <w:t>Approve the Dividend Payment Plan for 2023</w:t>
      </w:r>
    </w:p>
    <w:p w14:paraId="350E4B5E"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006E1A9C"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Total number of outstanding shares: 53,269,670 shares</w:t>
      </w:r>
    </w:p>
    <w:p w14:paraId="1AFF94C3"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Par value: VND 10,000</w:t>
      </w:r>
    </w:p>
    <w:p w14:paraId="59FAB842"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Dividend rate in 2023: 5%/share par value</w:t>
      </w:r>
    </w:p>
    <w:p w14:paraId="027BA2E5"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Form of dividend payment: By shares</w:t>
      </w:r>
    </w:p>
    <w:p w14:paraId="5C24DDFE"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Source of dividend payment: From profit after tax in 2023</w:t>
      </w:r>
    </w:p>
    <w:p w14:paraId="0D6538F6" w14:textId="77777777" w:rsidR="00C8395E" w:rsidRPr="007020AA" w:rsidRDefault="004D6D03" w:rsidP="007B6C59">
      <w:pPr>
        <w:numPr>
          <w:ilvl w:val="0"/>
          <w:numId w:val="40"/>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Expected time to pay dividends: From Q2 - Q4/2024.</w:t>
      </w:r>
    </w:p>
    <w:p w14:paraId="7F46FE1E" w14:textId="77777777" w:rsidR="00C8395E" w:rsidRPr="007020AA" w:rsidRDefault="004D6D03" w:rsidP="007B6C59">
      <w:pPr>
        <w:numPr>
          <w:ilvl w:val="1"/>
          <w:numId w:val="12"/>
        </w:numPr>
        <w:pBdr>
          <w:top w:val="nil"/>
          <w:left w:val="nil"/>
          <w:bottom w:val="nil"/>
          <w:right w:val="nil"/>
          <w:between w:val="nil"/>
        </w:pBdr>
        <w:tabs>
          <w:tab w:val="left" w:pos="360"/>
          <w:tab w:val="left" w:pos="450"/>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plan to issue shares to pay dividends in 2023.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618FD369" w14:textId="77777777" w:rsidR="00C8395E" w:rsidRPr="007020AA" w:rsidRDefault="004D6D03" w:rsidP="007B6C59">
      <w:pPr>
        <w:numPr>
          <w:ilvl w:val="0"/>
          <w:numId w:val="42"/>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Approve the plan to issue shares to pay dividends in 2023</w:t>
      </w:r>
    </w:p>
    <w:p w14:paraId="65AE4F90"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Share name: Vietnam Germany Steel Pipe JSC</w:t>
      </w:r>
    </w:p>
    <w:p w14:paraId="6B2F4125"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Securities code: ROS</w:t>
      </w:r>
    </w:p>
    <w:p w14:paraId="0EE30F9F"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Share type: Common shares</w:t>
      </w:r>
    </w:p>
    <w:p w14:paraId="37DAFEE2"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Charter capital: VND 532,696,700,000</w:t>
      </w:r>
    </w:p>
    <w:p w14:paraId="6770FFD0"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Par value: VND 10,000/share</w:t>
      </w:r>
    </w:p>
    <w:p w14:paraId="7512B4FD"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Number of issued shares: 53,269,670 shares</w:t>
      </w:r>
    </w:p>
    <w:p w14:paraId="69B6335C" w14:textId="77777777" w:rsidR="00C8395E" w:rsidRPr="007020AA" w:rsidRDefault="004D6D03" w:rsidP="007B6C59">
      <w:pPr>
        <w:numPr>
          <w:ilvl w:val="0"/>
          <w:numId w:val="43"/>
        </w:numPr>
        <w:pBdr>
          <w:top w:val="nil"/>
          <w:left w:val="nil"/>
          <w:bottom w:val="nil"/>
          <w:right w:val="nil"/>
          <w:between w:val="nil"/>
        </w:pBdr>
        <w:tabs>
          <w:tab w:val="left" w:pos="360"/>
          <w:tab w:val="left" w:pos="450"/>
          <w:tab w:val="left" w:pos="986"/>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Number of treasury shares: 0 shares</w:t>
      </w:r>
    </w:p>
    <w:p w14:paraId="0DDD4E88" w14:textId="77777777" w:rsidR="00C8395E" w:rsidRPr="007020AA" w:rsidRDefault="004D6D03" w:rsidP="007B6C59">
      <w:pPr>
        <w:numPr>
          <w:ilvl w:val="0"/>
          <w:numId w:val="43"/>
        </w:numPr>
        <w:pBdr>
          <w:top w:val="nil"/>
          <w:left w:val="nil"/>
          <w:bottom w:val="nil"/>
          <w:right w:val="nil"/>
          <w:between w:val="nil"/>
        </w:pBdr>
        <w:tabs>
          <w:tab w:val="left" w:pos="360"/>
          <w:tab w:val="left" w:pos="450"/>
          <w:tab w:val="left" w:pos="986"/>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Number of outstanding shares: 53,269,670 shares</w:t>
      </w:r>
    </w:p>
    <w:p w14:paraId="54CB658F"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Number of shares expected to be issued: 2,663,484 shares</w:t>
      </w:r>
    </w:p>
    <w:p w14:paraId="1A040920" w14:textId="1BABC8FA"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Issue price: VND 10,000/</w:t>
      </w:r>
      <w:r w:rsidR="007020AA" w:rsidRPr="007020AA">
        <w:rPr>
          <w:rFonts w:ascii="Arial" w:hAnsi="Arial" w:cs="Arial"/>
          <w:color w:val="010000"/>
          <w:sz w:val="20"/>
        </w:rPr>
        <w:t>s</w:t>
      </w:r>
      <w:r w:rsidRPr="007020AA">
        <w:rPr>
          <w:rFonts w:ascii="Arial" w:hAnsi="Arial" w:cs="Arial"/>
          <w:color w:val="010000"/>
          <w:sz w:val="20"/>
        </w:rPr>
        <w:t>hare</w:t>
      </w:r>
    </w:p>
    <w:p w14:paraId="27DED2DD"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Total value of shares issued: VND 26,634,840,000</w:t>
      </w:r>
    </w:p>
    <w:p w14:paraId="2A4C31A4" w14:textId="23E51D94"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Subject of the </w:t>
      </w:r>
      <w:r w:rsidR="007B6C59">
        <w:rPr>
          <w:rFonts w:ascii="Arial" w:hAnsi="Arial" w:cs="Arial"/>
          <w:color w:val="010000"/>
          <w:sz w:val="20"/>
        </w:rPr>
        <w:t>issue</w:t>
      </w:r>
      <w:r w:rsidRPr="007020AA">
        <w:rPr>
          <w:rFonts w:ascii="Arial" w:hAnsi="Arial" w:cs="Arial"/>
          <w:color w:val="010000"/>
          <w:sz w:val="20"/>
        </w:rPr>
        <w:t>: All existing shareholders on the list at the date of recording the list of shareholders to exercise the right to receive shares</w:t>
      </w:r>
    </w:p>
    <w:p w14:paraId="481933C0" w14:textId="129E8838"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Rate of exercising rights for shareholders: 100:5 (On the date of recording the list of shareholders to exercise rights, shareholders will receive 5 newly issued shares</w:t>
      </w:r>
      <w:r w:rsidR="007B6C59">
        <w:rPr>
          <w:rFonts w:ascii="Arial" w:hAnsi="Arial" w:cs="Arial"/>
          <w:color w:val="010000"/>
          <w:sz w:val="20"/>
        </w:rPr>
        <w:t xml:space="preserve"> for every 100 share owned</w:t>
      </w:r>
      <w:r w:rsidRPr="007020AA">
        <w:rPr>
          <w:rFonts w:ascii="Arial" w:hAnsi="Arial" w:cs="Arial"/>
          <w:color w:val="010000"/>
          <w:sz w:val="20"/>
        </w:rPr>
        <w:t>)</w:t>
      </w:r>
    </w:p>
    <w:p w14:paraId="09E3180E" w14:textId="32FE1A06" w:rsidR="00C8395E" w:rsidRPr="007020AA" w:rsidRDefault="007B6C59"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Issue</w:t>
      </w:r>
      <w:r w:rsidR="004D6D03" w:rsidRPr="007020AA">
        <w:rPr>
          <w:rFonts w:ascii="Arial" w:hAnsi="Arial" w:cs="Arial"/>
          <w:color w:val="010000"/>
          <w:sz w:val="20"/>
        </w:rPr>
        <w:t xml:space="preserve"> purpose:</w:t>
      </w:r>
      <w:r>
        <w:rPr>
          <w:rFonts w:ascii="Arial" w:hAnsi="Arial" w:cs="Arial"/>
          <w:color w:val="010000"/>
          <w:sz w:val="20"/>
        </w:rPr>
        <w:t xml:space="preserve"> Issuing shares to pay dividend</w:t>
      </w:r>
      <w:r w:rsidR="004D6D03" w:rsidRPr="007020AA">
        <w:rPr>
          <w:rFonts w:ascii="Arial" w:hAnsi="Arial" w:cs="Arial"/>
          <w:color w:val="010000"/>
          <w:sz w:val="20"/>
        </w:rPr>
        <w:t xml:space="preserve"> in 2023 to shareholders</w:t>
      </w:r>
    </w:p>
    <w:p w14:paraId="681E999D" w14:textId="35C5DC16"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Capital source for </w:t>
      </w:r>
      <w:r w:rsidR="007B6C59">
        <w:rPr>
          <w:rFonts w:ascii="Arial" w:hAnsi="Arial" w:cs="Arial"/>
          <w:color w:val="010000"/>
          <w:sz w:val="20"/>
        </w:rPr>
        <w:t>issue</w:t>
      </w:r>
      <w:r w:rsidRPr="007020AA">
        <w:rPr>
          <w:rFonts w:ascii="Arial" w:hAnsi="Arial" w:cs="Arial"/>
          <w:color w:val="010000"/>
          <w:sz w:val="20"/>
        </w:rPr>
        <w:t>: From profit after tax as of December 31, 2023 according to the Audited Financial Statements 2023.</w:t>
      </w:r>
    </w:p>
    <w:p w14:paraId="78F815A4"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Principles for rounding and handling fractional shares: The number of issued shares will be rounded </w:t>
      </w:r>
      <w:r w:rsidRPr="007020AA">
        <w:rPr>
          <w:rFonts w:ascii="Arial" w:hAnsi="Arial" w:cs="Arial"/>
          <w:color w:val="010000"/>
          <w:sz w:val="20"/>
        </w:rPr>
        <w:lastRenderedPageBreak/>
        <w:t>down to the nearest unit, the decimal part (if any) will be removed.</w:t>
      </w:r>
    </w:p>
    <w:p w14:paraId="60632D36"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For example: Shareholder A owns 543 shares. With the exercise rate of 100:5, the number of shares that shareholder A receives is 543/100x5 = 27.15 shares. According to the rounding principle, the number of new shares received by shareholder A is 27 shares, the fractional shares of 0.15 will be canceled</w:t>
      </w:r>
    </w:p>
    <w:p w14:paraId="57CA5B8A"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Regulations on transfer restrictions: None</w:t>
      </w:r>
    </w:p>
    <w:p w14:paraId="09269EB1" w14:textId="7399787B"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Expected time of issue: After receiving approval from the competent State agency; expected from Q2 </w:t>
      </w:r>
      <w:r w:rsidR="007020AA" w:rsidRPr="007020AA">
        <w:rPr>
          <w:rFonts w:ascii="Arial" w:hAnsi="Arial" w:cs="Arial"/>
          <w:color w:val="010000"/>
          <w:sz w:val="20"/>
        </w:rPr>
        <w:t>to</w:t>
      </w:r>
      <w:r w:rsidRPr="007020AA">
        <w:rPr>
          <w:rFonts w:ascii="Arial" w:hAnsi="Arial" w:cs="Arial"/>
          <w:color w:val="010000"/>
          <w:sz w:val="20"/>
        </w:rPr>
        <w:t xml:space="preserve"> Q4/2024</w:t>
      </w:r>
    </w:p>
    <w:p w14:paraId="29A2B2CF" w14:textId="77777777" w:rsidR="00C8395E" w:rsidRPr="007020AA" w:rsidRDefault="004D6D03" w:rsidP="007B6C59">
      <w:pPr>
        <w:numPr>
          <w:ilvl w:val="0"/>
          <w:numId w:val="4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Distribution method:</w:t>
      </w:r>
    </w:p>
    <w:p w14:paraId="61B2861D" w14:textId="77777777" w:rsidR="00C8395E" w:rsidRPr="007020AA" w:rsidRDefault="004D6D03" w:rsidP="007B6C59">
      <w:pPr>
        <w:numPr>
          <w:ilvl w:val="1"/>
          <w:numId w:val="44"/>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For deposited securities: Securities owners carry out procedures to receive dividends by shares at depository members where securities </w:t>
      </w:r>
      <w:proofErr w:type="gramStart"/>
      <w:r w:rsidRPr="007020AA">
        <w:rPr>
          <w:rFonts w:ascii="Arial" w:hAnsi="Arial" w:cs="Arial"/>
          <w:color w:val="010000"/>
          <w:sz w:val="20"/>
        </w:rPr>
        <w:t>owners</w:t>
      </w:r>
      <w:proofErr w:type="gramEnd"/>
      <w:r w:rsidRPr="007020AA">
        <w:rPr>
          <w:rFonts w:ascii="Arial" w:hAnsi="Arial" w:cs="Arial"/>
          <w:color w:val="010000"/>
          <w:sz w:val="20"/>
        </w:rPr>
        <w:t xml:space="preserve"> open securities depository accounts.</w:t>
      </w:r>
    </w:p>
    <w:p w14:paraId="18CFFB5A" w14:textId="77777777" w:rsidR="00C8395E" w:rsidRPr="007020AA" w:rsidRDefault="004D6D03" w:rsidP="007B6C59">
      <w:pPr>
        <w:numPr>
          <w:ilvl w:val="0"/>
          <w:numId w:val="44"/>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For </w:t>
      </w:r>
      <w:proofErr w:type="spellStart"/>
      <w:r w:rsidRPr="007020AA">
        <w:rPr>
          <w:rFonts w:ascii="Arial" w:hAnsi="Arial" w:cs="Arial"/>
          <w:color w:val="010000"/>
          <w:sz w:val="20"/>
        </w:rPr>
        <w:t>undeposited</w:t>
      </w:r>
      <w:proofErr w:type="spellEnd"/>
      <w:r w:rsidRPr="007020AA">
        <w:rPr>
          <w:rFonts w:ascii="Arial" w:hAnsi="Arial" w:cs="Arial"/>
          <w:color w:val="010000"/>
          <w:sz w:val="20"/>
        </w:rPr>
        <w:t xml:space="preserve"> securities: Securities owners carry out procedures to receive dividends by shares at the Headquarters of Vietnam Germany Steel Pipe JSC, </w:t>
      </w:r>
      <w:proofErr w:type="spellStart"/>
      <w:r w:rsidRPr="007020AA">
        <w:rPr>
          <w:rFonts w:ascii="Arial" w:hAnsi="Arial" w:cs="Arial"/>
          <w:color w:val="010000"/>
          <w:sz w:val="20"/>
        </w:rPr>
        <w:t>Binh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Xuyen</w:t>
      </w:r>
      <w:proofErr w:type="spellEnd"/>
      <w:r w:rsidRPr="007020AA">
        <w:rPr>
          <w:rFonts w:ascii="Arial" w:hAnsi="Arial" w:cs="Arial"/>
          <w:color w:val="010000"/>
          <w:sz w:val="20"/>
        </w:rPr>
        <w:t xml:space="preserve"> Industrial Park, Dao Duc Town, </w:t>
      </w:r>
      <w:proofErr w:type="spellStart"/>
      <w:r w:rsidRPr="007020AA">
        <w:rPr>
          <w:rFonts w:ascii="Arial" w:hAnsi="Arial" w:cs="Arial"/>
          <w:color w:val="010000"/>
          <w:sz w:val="20"/>
        </w:rPr>
        <w:t>Binh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Xuyen</w:t>
      </w:r>
      <w:proofErr w:type="spellEnd"/>
      <w:r w:rsidRPr="007020AA">
        <w:rPr>
          <w:rFonts w:ascii="Arial" w:hAnsi="Arial" w:cs="Arial"/>
          <w:color w:val="010000"/>
          <w:sz w:val="20"/>
        </w:rPr>
        <w:t xml:space="preserve"> District,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w:t>
      </w:r>
    </w:p>
    <w:p w14:paraId="7DEA65FC" w14:textId="3D5ADA84" w:rsidR="00C8395E" w:rsidRPr="007020AA" w:rsidRDefault="004D6D03" w:rsidP="007B6C59">
      <w:pPr>
        <w:numPr>
          <w:ilvl w:val="0"/>
          <w:numId w:val="2"/>
        </w:numPr>
        <w:pBdr>
          <w:top w:val="nil"/>
          <w:left w:val="nil"/>
          <w:bottom w:val="nil"/>
          <w:right w:val="nil"/>
          <w:between w:val="nil"/>
        </w:pBdr>
        <w:tabs>
          <w:tab w:val="left" w:pos="360"/>
          <w:tab w:val="left" w:pos="450"/>
          <w:tab w:val="left" w:pos="982"/>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changing the charter capital in the Company Charter and adjusting the Business Registration Certificate at the Department of Planning and Investment of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 after the being approved of the </w:t>
      </w:r>
      <w:r w:rsidR="007B6C59">
        <w:rPr>
          <w:rFonts w:ascii="Arial" w:hAnsi="Arial" w:cs="Arial"/>
          <w:color w:val="010000"/>
          <w:sz w:val="20"/>
        </w:rPr>
        <w:t>issue</w:t>
      </w:r>
      <w:r w:rsidRPr="007020AA">
        <w:rPr>
          <w:rFonts w:ascii="Arial" w:hAnsi="Arial" w:cs="Arial"/>
          <w:color w:val="010000"/>
          <w:sz w:val="20"/>
        </w:rPr>
        <w:t xml:space="preserve"> results report from the State Securities Commission.</w:t>
      </w:r>
    </w:p>
    <w:p w14:paraId="245780E4" w14:textId="77777777" w:rsidR="00C8395E" w:rsidRPr="007020AA" w:rsidRDefault="004D6D03" w:rsidP="007B6C59">
      <w:pPr>
        <w:numPr>
          <w:ilvl w:val="0"/>
          <w:numId w:val="2"/>
        </w:numPr>
        <w:pBdr>
          <w:top w:val="nil"/>
          <w:left w:val="nil"/>
          <w:bottom w:val="nil"/>
          <w:right w:val="nil"/>
          <w:between w:val="nil"/>
        </w:pBdr>
        <w:tabs>
          <w:tab w:val="left" w:pos="360"/>
          <w:tab w:val="left" w:pos="450"/>
          <w:tab w:val="left" w:pos="1082"/>
        </w:tabs>
        <w:spacing w:after="120" w:line="360" w:lineRule="auto"/>
        <w:jc w:val="both"/>
        <w:rPr>
          <w:rFonts w:ascii="Arial" w:hAnsi="Arial" w:cs="Arial"/>
          <w:color w:val="010000"/>
          <w:sz w:val="20"/>
          <w:szCs w:val="20"/>
        </w:rPr>
      </w:pPr>
      <w:r w:rsidRPr="007020AA">
        <w:rPr>
          <w:rFonts w:ascii="Arial" w:hAnsi="Arial" w:cs="Arial"/>
          <w:color w:val="010000"/>
          <w:sz w:val="20"/>
        </w:rPr>
        <w:t>Approve authorization to the Board of Directors of the Company</w:t>
      </w:r>
    </w:p>
    <w:p w14:paraId="4BF8668C" w14:textId="670918AA"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w:t>
      </w:r>
      <w:r w:rsidR="006054CD">
        <w:rPr>
          <w:rFonts w:ascii="Arial" w:hAnsi="Arial" w:cs="Arial"/>
          <w:color w:val="010000"/>
          <w:sz w:val="20"/>
        </w:rPr>
        <w:t>General Meeting</w:t>
      </w:r>
      <w:r w:rsidRPr="007020AA">
        <w:rPr>
          <w:rFonts w:ascii="Arial" w:hAnsi="Arial" w:cs="Arial"/>
          <w:color w:val="010000"/>
          <w:sz w:val="20"/>
        </w:rPr>
        <w:t xml:space="preserve"> authorized the Company's Board of Directors to carry out work related to the </w:t>
      </w:r>
      <w:r w:rsidR="007B6C59">
        <w:rPr>
          <w:rFonts w:ascii="Arial" w:hAnsi="Arial" w:cs="Arial"/>
          <w:color w:val="010000"/>
          <w:sz w:val="20"/>
        </w:rPr>
        <w:t>issue</w:t>
      </w:r>
      <w:r w:rsidRPr="007020AA">
        <w:rPr>
          <w:rFonts w:ascii="Arial" w:hAnsi="Arial" w:cs="Arial"/>
          <w:color w:val="010000"/>
          <w:sz w:val="20"/>
        </w:rPr>
        <w:t xml:space="preserve"> of shares to pay dividends in 2023 as follows:</w:t>
      </w:r>
    </w:p>
    <w:p w14:paraId="1382D9C9" w14:textId="276CDE60" w:rsidR="00C8395E" w:rsidRPr="007020AA" w:rsidRDefault="004D6D03" w:rsidP="007B6C59">
      <w:pPr>
        <w:numPr>
          <w:ilvl w:val="0"/>
          <w:numId w:val="45"/>
        </w:numPr>
        <w:pBdr>
          <w:top w:val="nil"/>
          <w:left w:val="nil"/>
          <w:bottom w:val="nil"/>
          <w:right w:val="nil"/>
          <w:between w:val="nil"/>
        </w:pBdr>
        <w:tabs>
          <w:tab w:val="left" w:pos="360"/>
          <w:tab w:val="left" w:pos="450"/>
          <w:tab w:val="left" w:pos="1442"/>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Decide to amend, supplement, complete and detail the content of the </w:t>
      </w:r>
      <w:r w:rsidR="007B6C59">
        <w:rPr>
          <w:rFonts w:ascii="Arial" w:hAnsi="Arial" w:cs="Arial"/>
          <w:color w:val="010000"/>
          <w:sz w:val="20"/>
        </w:rPr>
        <w:t>issue</w:t>
      </w:r>
      <w:r w:rsidRPr="007020AA">
        <w:rPr>
          <w:rFonts w:ascii="Arial" w:hAnsi="Arial" w:cs="Arial"/>
          <w:color w:val="010000"/>
          <w:sz w:val="20"/>
        </w:rPr>
        <w:t xml:space="preserve"> plan mentioned above and/or amend, supplement or change the </w:t>
      </w:r>
      <w:r w:rsidR="007B6C59">
        <w:rPr>
          <w:rFonts w:ascii="Arial" w:hAnsi="Arial" w:cs="Arial"/>
          <w:color w:val="010000"/>
          <w:sz w:val="20"/>
        </w:rPr>
        <w:t>issue</w:t>
      </w:r>
      <w:r w:rsidRPr="007020AA">
        <w:rPr>
          <w:rFonts w:ascii="Arial" w:hAnsi="Arial" w:cs="Arial"/>
          <w:color w:val="010000"/>
          <w:sz w:val="20"/>
        </w:rPr>
        <w:t xml:space="preserve"> plan when necessary or at the request of the competent Agency to ensure the </w:t>
      </w:r>
      <w:r w:rsidR="007B6C59">
        <w:rPr>
          <w:rFonts w:ascii="Arial" w:hAnsi="Arial" w:cs="Arial"/>
          <w:color w:val="010000"/>
          <w:sz w:val="20"/>
        </w:rPr>
        <w:t>issue</w:t>
      </w:r>
      <w:r w:rsidRPr="007020AA">
        <w:rPr>
          <w:rFonts w:ascii="Arial" w:hAnsi="Arial" w:cs="Arial"/>
          <w:color w:val="010000"/>
          <w:sz w:val="20"/>
        </w:rPr>
        <w:t xml:space="preserve"> is successful;</w:t>
      </w:r>
    </w:p>
    <w:p w14:paraId="1DE9AE17" w14:textId="4D5E472A" w:rsidR="00C8395E" w:rsidRPr="007020AA" w:rsidRDefault="004D6D03" w:rsidP="007B6C59">
      <w:pPr>
        <w:numPr>
          <w:ilvl w:val="0"/>
          <w:numId w:val="45"/>
        </w:numPr>
        <w:pBdr>
          <w:top w:val="nil"/>
          <w:left w:val="nil"/>
          <w:bottom w:val="nil"/>
          <w:right w:val="nil"/>
          <w:between w:val="nil"/>
        </w:pBdr>
        <w:tabs>
          <w:tab w:val="left" w:pos="360"/>
          <w:tab w:val="left" w:pos="450"/>
          <w:tab w:val="left" w:pos="1442"/>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Select the time of </w:t>
      </w:r>
      <w:r w:rsidR="007B6C59">
        <w:rPr>
          <w:rFonts w:ascii="Arial" w:hAnsi="Arial" w:cs="Arial"/>
          <w:color w:val="010000"/>
          <w:sz w:val="20"/>
        </w:rPr>
        <w:t>issue</w:t>
      </w:r>
      <w:r w:rsidRPr="007020AA">
        <w:rPr>
          <w:rFonts w:ascii="Arial" w:hAnsi="Arial" w:cs="Arial"/>
          <w:color w:val="010000"/>
          <w:sz w:val="20"/>
        </w:rPr>
        <w:t xml:space="preserve">, build, complete, amend and supplement (if any) the </w:t>
      </w:r>
      <w:r w:rsidR="007B6C59">
        <w:rPr>
          <w:rFonts w:ascii="Arial" w:hAnsi="Arial" w:cs="Arial"/>
          <w:color w:val="010000"/>
          <w:sz w:val="20"/>
        </w:rPr>
        <w:t>issue</w:t>
      </w:r>
      <w:r w:rsidRPr="007020AA">
        <w:rPr>
          <w:rFonts w:ascii="Arial" w:hAnsi="Arial" w:cs="Arial"/>
          <w:color w:val="010000"/>
          <w:sz w:val="20"/>
        </w:rPr>
        <w:t xml:space="preserve"> dossier to submit to the competent authority;</w:t>
      </w:r>
    </w:p>
    <w:p w14:paraId="28C8796E" w14:textId="1BBFD793" w:rsidR="00C8395E" w:rsidRPr="007020AA" w:rsidRDefault="004D6D03" w:rsidP="007B6C59">
      <w:pPr>
        <w:numPr>
          <w:ilvl w:val="0"/>
          <w:numId w:val="45"/>
        </w:numPr>
        <w:pBdr>
          <w:top w:val="nil"/>
          <w:left w:val="nil"/>
          <w:bottom w:val="nil"/>
          <w:right w:val="nil"/>
          <w:between w:val="nil"/>
        </w:pBdr>
        <w:tabs>
          <w:tab w:val="left" w:pos="360"/>
          <w:tab w:val="left" w:pos="450"/>
          <w:tab w:val="left" w:pos="1442"/>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Decide when to record the list of shareholders to exercise the rights, and other timelines related to the implementation of the </w:t>
      </w:r>
      <w:r w:rsidR="007B6C59">
        <w:rPr>
          <w:rFonts w:ascii="Arial" w:hAnsi="Arial" w:cs="Arial"/>
          <w:color w:val="010000"/>
          <w:sz w:val="20"/>
        </w:rPr>
        <w:t>issue</w:t>
      </w:r>
      <w:r w:rsidRPr="007020AA">
        <w:rPr>
          <w:rFonts w:ascii="Arial" w:hAnsi="Arial" w:cs="Arial"/>
          <w:color w:val="010000"/>
          <w:sz w:val="20"/>
        </w:rPr>
        <w:t xml:space="preserve"> and carry out procedures for recording the list of shareholders according to regulations;</w:t>
      </w:r>
    </w:p>
    <w:p w14:paraId="2DE738F8" w14:textId="74D6B27B" w:rsidR="00C8395E" w:rsidRPr="007020AA" w:rsidRDefault="004D6D03" w:rsidP="007B6C59">
      <w:pPr>
        <w:numPr>
          <w:ilvl w:val="0"/>
          <w:numId w:val="45"/>
        </w:numPr>
        <w:pBdr>
          <w:top w:val="nil"/>
          <w:left w:val="nil"/>
          <w:bottom w:val="nil"/>
          <w:right w:val="nil"/>
          <w:between w:val="nil"/>
        </w:pBdr>
        <w:tabs>
          <w:tab w:val="left" w:pos="360"/>
          <w:tab w:val="left" w:pos="450"/>
          <w:tab w:val="left" w:pos="1359"/>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Make amendments and supplements to relevant provisions in the Company's Charter for recording the newly increased charter capital after completing the </w:t>
      </w:r>
      <w:r w:rsidR="007B6C59">
        <w:rPr>
          <w:rFonts w:ascii="Arial" w:hAnsi="Arial" w:cs="Arial"/>
          <w:color w:val="010000"/>
          <w:sz w:val="20"/>
        </w:rPr>
        <w:t>issue</w:t>
      </w:r>
      <w:r w:rsidRPr="007020AA">
        <w:rPr>
          <w:rFonts w:ascii="Arial" w:hAnsi="Arial" w:cs="Arial"/>
          <w:color w:val="010000"/>
          <w:sz w:val="20"/>
        </w:rPr>
        <w:t>;</w:t>
      </w:r>
    </w:p>
    <w:p w14:paraId="20264959" w14:textId="2C9326A8" w:rsidR="00C8395E" w:rsidRPr="007020AA" w:rsidRDefault="004D6D03" w:rsidP="007B6C59">
      <w:pPr>
        <w:numPr>
          <w:ilvl w:val="0"/>
          <w:numId w:val="45"/>
        </w:numPr>
        <w:pBdr>
          <w:top w:val="nil"/>
          <w:left w:val="nil"/>
          <w:bottom w:val="nil"/>
          <w:right w:val="nil"/>
          <w:between w:val="nil"/>
        </w:pBdr>
        <w:tabs>
          <w:tab w:val="left" w:pos="360"/>
          <w:tab w:val="left" w:pos="450"/>
          <w:tab w:val="left" w:pos="1359"/>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Approve increasing charter capital and implementing necessary legal work and procedures to change the Charter Capital in the Business Registration Certificate corresponding to the total par value of actual shares issued after completing the </w:t>
      </w:r>
      <w:r w:rsidR="007B6C59">
        <w:rPr>
          <w:rFonts w:ascii="Arial" w:hAnsi="Arial" w:cs="Arial"/>
          <w:color w:val="010000"/>
          <w:sz w:val="20"/>
        </w:rPr>
        <w:t>issue</w:t>
      </w:r>
      <w:r w:rsidRPr="007020AA">
        <w:rPr>
          <w:rFonts w:ascii="Arial" w:hAnsi="Arial" w:cs="Arial"/>
          <w:color w:val="010000"/>
          <w:sz w:val="20"/>
        </w:rPr>
        <w:t>;</w:t>
      </w:r>
    </w:p>
    <w:p w14:paraId="77D8A163" w14:textId="77777777" w:rsidR="00C8395E" w:rsidRPr="007020AA" w:rsidRDefault="004D6D03" w:rsidP="007B6C59">
      <w:pPr>
        <w:numPr>
          <w:ilvl w:val="0"/>
          <w:numId w:val="4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Conduct related procedures with the State Securities Commission; Vietnam Securities Depository and Clearing Corporation (VSDC); Hanoi Stock Exchange (HNX) and Department of Planning and </w:t>
      </w:r>
      <w:r w:rsidRPr="007020AA">
        <w:rPr>
          <w:rFonts w:ascii="Arial" w:hAnsi="Arial" w:cs="Arial"/>
          <w:color w:val="010000"/>
          <w:sz w:val="20"/>
        </w:rPr>
        <w:lastRenderedPageBreak/>
        <w:t xml:space="preserve">Investment of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w:t>
      </w:r>
    </w:p>
    <w:p w14:paraId="4CB44CCC" w14:textId="19903FA7" w:rsidR="00C8395E" w:rsidRPr="007020AA" w:rsidRDefault="004D6D03" w:rsidP="007B6C59">
      <w:pPr>
        <w:numPr>
          <w:ilvl w:val="0"/>
          <w:numId w:val="4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Decide on other arising issues related to the process of implementing the </w:t>
      </w:r>
      <w:r w:rsidR="007B6C59">
        <w:rPr>
          <w:rFonts w:ascii="Arial" w:hAnsi="Arial" w:cs="Arial"/>
          <w:color w:val="010000"/>
          <w:sz w:val="20"/>
        </w:rPr>
        <w:t>issue</w:t>
      </w:r>
      <w:r w:rsidRPr="007020AA">
        <w:rPr>
          <w:rFonts w:ascii="Arial" w:hAnsi="Arial" w:cs="Arial"/>
          <w:color w:val="010000"/>
          <w:sz w:val="20"/>
        </w:rPr>
        <w:t xml:space="preserve"> of shares to pay dividends in 2023 to the Company's shareholders at the request of the competent State agency.</w:t>
      </w:r>
    </w:p>
    <w:p w14:paraId="3BF31570" w14:textId="16CBD558" w:rsidR="00C8395E" w:rsidRPr="007020AA" w:rsidRDefault="004D6D03" w:rsidP="007B6C59">
      <w:pPr>
        <w:numPr>
          <w:ilvl w:val="1"/>
          <w:numId w:val="5"/>
        </w:numPr>
        <w:pBdr>
          <w:top w:val="nil"/>
          <w:left w:val="nil"/>
          <w:bottom w:val="nil"/>
          <w:right w:val="nil"/>
          <w:between w:val="nil"/>
        </w:pBdr>
        <w:tabs>
          <w:tab w:val="left" w:pos="360"/>
          <w:tab w:val="left" w:pos="450"/>
          <w:tab w:val="left" w:pos="982"/>
        </w:tabs>
        <w:spacing w:after="120" w:line="360" w:lineRule="auto"/>
        <w:jc w:val="both"/>
        <w:rPr>
          <w:rFonts w:ascii="Arial" w:hAnsi="Arial" w:cs="Arial"/>
          <w:color w:val="010000"/>
          <w:sz w:val="20"/>
          <w:szCs w:val="20"/>
        </w:rPr>
      </w:pPr>
      <w:r w:rsidRPr="007020AA">
        <w:rPr>
          <w:rFonts w:ascii="Arial" w:hAnsi="Arial" w:cs="Arial"/>
          <w:color w:val="010000"/>
          <w:sz w:val="20"/>
        </w:rPr>
        <w:t>Approve regulations on decentralization of investment in real estate projects to meet the actual situation of governance, business and investm</w:t>
      </w:r>
      <w:r w:rsidR="007B6C59">
        <w:rPr>
          <w:rFonts w:ascii="Arial" w:hAnsi="Arial" w:cs="Arial"/>
          <w:color w:val="010000"/>
          <w:sz w:val="20"/>
        </w:rPr>
        <w:t>ent activities of the Company, s</w:t>
      </w:r>
      <w:r w:rsidRPr="007020AA">
        <w:rPr>
          <w:rFonts w:ascii="Arial" w:hAnsi="Arial" w:cs="Arial"/>
          <w:color w:val="010000"/>
          <w:sz w:val="20"/>
        </w:rPr>
        <w:t>pecifically as follows:</w:t>
      </w:r>
    </w:p>
    <w:p w14:paraId="778A2FAB" w14:textId="77777777" w:rsidR="00C8395E" w:rsidRPr="007020AA" w:rsidRDefault="004D6D03" w:rsidP="007B6C59">
      <w:pPr>
        <w:numPr>
          <w:ilvl w:val="0"/>
          <w:numId w:val="14"/>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The need to promulgate Regulations on decentralization of investment in real estate projects:</w:t>
      </w:r>
    </w:p>
    <w:p w14:paraId="0B53A5FD" w14:textId="31820D1C"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According to the provisions of the current Company</w:t>
      </w:r>
      <w:r w:rsidR="007B6C59">
        <w:rPr>
          <w:rFonts w:ascii="Arial" w:hAnsi="Arial" w:cs="Arial"/>
          <w:color w:val="010000"/>
          <w:sz w:val="20"/>
        </w:rPr>
        <w:t>’s</w:t>
      </w:r>
      <w:r w:rsidRPr="007020AA">
        <w:rPr>
          <w:rFonts w:ascii="Arial" w:hAnsi="Arial" w:cs="Arial"/>
          <w:color w:val="010000"/>
          <w:sz w:val="20"/>
        </w:rPr>
        <w:t xml:space="preserve"> Charter, most of the content on the authority of the </w:t>
      </w:r>
      <w:r w:rsidR="006054CD">
        <w:rPr>
          <w:rFonts w:ascii="Arial" w:hAnsi="Arial" w:cs="Arial"/>
          <w:color w:val="010000"/>
          <w:sz w:val="20"/>
        </w:rPr>
        <w:t>General Meeting</w:t>
      </w:r>
      <w:r w:rsidRPr="007020AA">
        <w:rPr>
          <w:rFonts w:ascii="Arial" w:hAnsi="Arial" w:cs="Arial"/>
          <w:color w:val="010000"/>
          <w:sz w:val="20"/>
        </w:rPr>
        <w:t xml:space="preserve">, the Board of Directors and the </w:t>
      </w:r>
      <w:r w:rsidR="007B6C59">
        <w:rPr>
          <w:rFonts w:ascii="Arial" w:hAnsi="Arial" w:cs="Arial"/>
          <w:color w:val="010000"/>
          <w:sz w:val="20"/>
        </w:rPr>
        <w:t>Managing Director</w:t>
      </w:r>
      <w:r w:rsidRPr="007020AA">
        <w:rPr>
          <w:rFonts w:ascii="Arial" w:hAnsi="Arial" w:cs="Arial"/>
          <w:color w:val="010000"/>
          <w:sz w:val="20"/>
        </w:rPr>
        <w:t xml:space="preserve"> is currently built based on the general principles stipulated in the Law on Securities 2019 and Law on Enterprises 2020.</w:t>
      </w:r>
    </w:p>
    <w:p w14:paraId="23139FEC"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In reality, in the process of implementing the Company's investment and business activities, if the authority of agencies within the Company is regulated only on the basis of general principles, it will not be possible to cover all of the Company's activities arising due to the characteristics of each business line, as well as each investment project of the Company. Project construction investment implementation process</w:t>
      </w:r>
    </w:p>
    <w:p w14:paraId="42EADF60"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Viet Duc Legend City urban area in </w:t>
      </w:r>
      <w:proofErr w:type="spellStart"/>
      <w:r w:rsidRPr="007020AA">
        <w:rPr>
          <w:rFonts w:ascii="Arial" w:hAnsi="Arial" w:cs="Arial"/>
          <w:color w:val="010000"/>
          <w:sz w:val="20"/>
        </w:rPr>
        <w:t>Binh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Xuyen</w:t>
      </w:r>
      <w:proofErr w:type="spellEnd"/>
      <w:r w:rsidRPr="007020AA">
        <w:rPr>
          <w:rFonts w:ascii="Arial" w:hAnsi="Arial" w:cs="Arial"/>
          <w:color w:val="010000"/>
          <w:sz w:val="20"/>
        </w:rPr>
        <w:t xml:space="preserve"> District,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 has been generating work items whose approval authority cannot be clearly determined, including but not limited to: Approve various types of feasibility study reports, design drawings, establish project support units and appoint corresponding positions, select and sign contracts with contractors, etc. due to not being specifically stipulated in the Charter and internal management regulations of the Company. The lack of basis for implementation poses the risk of misidentifying the entity with approval authority, affecting the overall progress of the project as well as the legal rights and interests of the Company's shareholders.</w:t>
      </w:r>
    </w:p>
    <w:p w14:paraId="47883A05" w14:textId="719E06BC"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In addition to the contents that have not been specifically regulated on authority in the Company's Charter, in the process of implementing investment procedures for the Viet Duc Legend City Urban Area Project, there are currently many work items and transactions that regularly arise but must be approved by the </w:t>
      </w:r>
      <w:r w:rsidR="006054CD">
        <w:rPr>
          <w:rFonts w:ascii="Arial" w:hAnsi="Arial" w:cs="Arial"/>
          <w:color w:val="010000"/>
          <w:sz w:val="20"/>
        </w:rPr>
        <w:t>General Meeting</w:t>
      </w:r>
      <w:r w:rsidRPr="007020AA">
        <w:rPr>
          <w:rFonts w:ascii="Arial" w:hAnsi="Arial" w:cs="Arial"/>
          <w:color w:val="010000"/>
          <w:sz w:val="20"/>
        </w:rPr>
        <w:t xml:space="preserve"> and the Board of Directors according to the provisions of the Charter. However, in reality, real estate investment projects </w:t>
      </w:r>
      <w:proofErr w:type="gramStart"/>
      <w:r w:rsidRPr="007020AA">
        <w:rPr>
          <w:rFonts w:ascii="Arial" w:hAnsi="Arial" w:cs="Arial"/>
          <w:color w:val="010000"/>
          <w:sz w:val="20"/>
        </w:rPr>
        <w:t>requires</w:t>
      </w:r>
      <w:proofErr w:type="gramEnd"/>
      <w:r w:rsidRPr="007020AA">
        <w:rPr>
          <w:rFonts w:ascii="Arial" w:hAnsi="Arial" w:cs="Arial"/>
          <w:color w:val="010000"/>
          <w:sz w:val="20"/>
        </w:rPr>
        <w:t xml:space="preserve"> that decision-making on investment, construction and transactions with contractors and other partners at the project need to be done urgently and quickly to meet the approved schedule. Meanwhile, the process of preparing and organizing meetings of the Board of Directors and the </w:t>
      </w:r>
      <w:r w:rsidR="006054CD">
        <w:rPr>
          <w:rFonts w:ascii="Arial" w:hAnsi="Arial" w:cs="Arial"/>
          <w:color w:val="010000"/>
          <w:sz w:val="20"/>
        </w:rPr>
        <w:t>General Meeting</w:t>
      </w:r>
      <w:r w:rsidRPr="007020AA">
        <w:rPr>
          <w:rFonts w:ascii="Arial" w:hAnsi="Arial" w:cs="Arial"/>
          <w:color w:val="010000"/>
          <w:sz w:val="20"/>
        </w:rPr>
        <w:t xml:space="preserve"> of the Company takes a long time to issue a Resolution or General Mandate for approval. Submitting to the </w:t>
      </w:r>
      <w:r w:rsidR="006054CD">
        <w:rPr>
          <w:rFonts w:ascii="Arial" w:hAnsi="Arial" w:cs="Arial"/>
          <w:color w:val="010000"/>
          <w:sz w:val="20"/>
        </w:rPr>
        <w:t>General Meeting</w:t>
      </w:r>
      <w:r w:rsidRPr="007020AA">
        <w:rPr>
          <w:rFonts w:ascii="Arial" w:hAnsi="Arial" w:cs="Arial"/>
          <w:color w:val="010000"/>
          <w:sz w:val="20"/>
        </w:rPr>
        <w:t xml:space="preserve"> and the Board of Directors for approval in these situations will not be able to meet time requirements and may affect the progress that the Company has committed to state agencies and/or partners. To solve this problem, it is necessary to develop a plan to decentralize authority to individuals holding management positions to decide on frequently arising issues to ensure flexibility and initiative in coordinating project investment activities.</w:t>
      </w:r>
    </w:p>
    <w:p w14:paraId="5026AAFB"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Normally, the delegation of authority between agencies within an enterprise is often done through the authorization mechanism under civil law. However, through reviewing and evaluating the State </w:t>
      </w:r>
      <w:r w:rsidRPr="007020AA">
        <w:rPr>
          <w:rFonts w:ascii="Arial" w:hAnsi="Arial" w:cs="Arial"/>
          <w:color w:val="010000"/>
          <w:sz w:val="20"/>
        </w:rPr>
        <w:lastRenderedPageBreak/>
        <w:t>Securities Commission's guiding documents for public companies in recent years, the State Securities Commission has expressed its opinion that it does not support the application of the method in which the authority specified in the Charter is handed over from one agency to another by authorization. Therefore, to create a foundation for a logical decentralization system that meets the internal needs of businesses and ensures compatibility with the views of</w:t>
      </w:r>
    </w:p>
    <w:p w14:paraId="767A3EDD" w14:textId="6B915B1D"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State agencies, the Board of Directors respectfully requests that the </w:t>
      </w:r>
      <w:r w:rsidR="006054CD">
        <w:rPr>
          <w:rFonts w:ascii="Arial" w:hAnsi="Arial" w:cs="Arial"/>
          <w:color w:val="010000"/>
          <w:sz w:val="20"/>
        </w:rPr>
        <w:t>General Meeting</w:t>
      </w:r>
      <w:r w:rsidRPr="007020AA">
        <w:rPr>
          <w:rFonts w:ascii="Arial" w:hAnsi="Arial" w:cs="Arial"/>
          <w:color w:val="010000"/>
          <w:sz w:val="20"/>
        </w:rPr>
        <w:t xml:space="preserve"> consider approving the decentralization within the Company to executive agencies in real estate project investment activities through the promulgation of Regulation on Decentralization of Investment in Real Estate Projects to divide authority within the Company to executive agencies.</w:t>
      </w:r>
    </w:p>
    <w:p w14:paraId="4ACAA2C4" w14:textId="36E89C8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In addition to enhancing flexibility in the project implementation process, the decentralization mechanism also helps enhance responsibility and maximize the initiative of agencies and executive positions in the enterprise. The division of power among agencies/titles within the company creates a logical and unified system of decentralization to carry out real estate investment activities, especially in the context of the </w:t>
      </w:r>
      <w:r w:rsidR="007020AA" w:rsidRPr="007020AA">
        <w:rPr>
          <w:rFonts w:ascii="Arial" w:hAnsi="Arial" w:cs="Arial"/>
          <w:color w:val="010000"/>
          <w:sz w:val="20"/>
        </w:rPr>
        <w:t>C</w:t>
      </w:r>
      <w:r w:rsidRPr="007020AA">
        <w:rPr>
          <w:rFonts w:ascii="Arial" w:hAnsi="Arial" w:cs="Arial"/>
          <w:color w:val="010000"/>
          <w:sz w:val="20"/>
        </w:rPr>
        <w:t xml:space="preserve">ompany expanding its scope into potential fields other than steel production. </w:t>
      </w:r>
    </w:p>
    <w:p w14:paraId="5AD3040E"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From a professional perspective, empowering a number of agencies and positions with experience in implementing real estate projects also helps limit risks for higher-level agencies when considering and making decisions.</w:t>
      </w:r>
    </w:p>
    <w:p w14:paraId="6C4F7888" w14:textId="77777777" w:rsidR="00C8395E" w:rsidRPr="007020AA" w:rsidRDefault="004D6D03" w:rsidP="007B6C59">
      <w:pPr>
        <w:numPr>
          <w:ilvl w:val="0"/>
          <w:numId w:val="1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Contents of the Regulation on Decentralization of Investment in Real Estate Projects</w:t>
      </w:r>
    </w:p>
    <w:p w14:paraId="3FCFE561" w14:textId="28BF6A11"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Board of Directors of the Company respectfully submits to the </w:t>
      </w:r>
      <w:r w:rsidR="006054CD">
        <w:rPr>
          <w:rFonts w:ascii="Arial" w:hAnsi="Arial" w:cs="Arial"/>
          <w:color w:val="010000"/>
          <w:sz w:val="20"/>
        </w:rPr>
        <w:t>General Meeting</w:t>
      </w:r>
      <w:r w:rsidRPr="007020AA">
        <w:rPr>
          <w:rFonts w:ascii="Arial" w:hAnsi="Arial" w:cs="Arial"/>
          <w:color w:val="010000"/>
          <w:sz w:val="20"/>
        </w:rPr>
        <w:t xml:space="preserve"> for approval of the promulgation of the Regulation on Decentralization of Investment in Real Estate Projects as follows:</w:t>
      </w:r>
    </w:p>
    <w:p w14:paraId="259F8A57" w14:textId="77777777" w:rsidR="00C8395E" w:rsidRPr="007020AA" w:rsidRDefault="004D6D03" w:rsidP="007B6C59">
      <w:pPr>
        <w:numPr>
          <w:ilvl w:val="0"/>
          <w:numId w:val="16"/>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Name of the Regulation: Regulation on Decentralization of Investment in Real Estate Projects</w:t>
      </w:r>
    </w:p>
    <w:p w14:paraId="748AE5BF" w14:textId="77777777" w:rsidR="00C8395E" w:rsidRPr="007020AA" w:rsidRDefault="004D6D03" w:rsidP="007B6C59">
      <w:pPr>
        <w:numPr>
          <w:ilvl w:val="0"/>
          <w:numId w:val="16"/>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Content of the Regulation:</w:t>
      </w:r>
    </w:p>
    <w:p w14:paraId="0F9CCECB"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Based on the principles in the Charter, the Regulation on Decentralization of Investment in Real Estate Projects will stipulate a specific mechanism of decentralization in the process of implementing procedures (investment, construction implementation, business exploitation and settlement of real estate projects) for agencies and/or positions in the Company including:</w:t>
      </w:r>
    </w:p>
    <w:p w14:paraId="0DB605B6" w14:textId="1E69D239" w:rsidR="00C8395E" w:rsidRPr="007020AA" w:rsidRDefault="004D6D03" w:rsidP="007B6C59">
      <w:pPr>
        <w:numPr>
          <w:ilvl w:val="0"/>
          <w:numId w:val="7"/>
        </w:numPr>
        <w:pBdr>
          <w:top w:val="nil"/>
          <w:left w:val="nil"/>
          <w:bottom w:val="nil"/>
          <w:right w:val="nil"/>
          <w:between w:val="nil"/>
        </w:pBdr>
        <w:tabs>
          <w:tab w:val="left" w:pos="360"/>
          <w:tab w:val="left" w:pos="450"/>
          <w:tab w:val="left" w:pos="1943"/>
        </w:tabs>
        <w:spacing w:after="120" w:line="360" w:lineRule="auto"/>
        <w:jc w:val="both"/>
        <w:rPr>
          <w:rFonts w:ascii="Arial" w:hAnsi="Arial" w:cs="Arial"/>
          <w:color w:val="010000"/>
          <w:sz w:val="20"/>
          <w:szCs w:val="20"/>
        </w:rPr>
      </w:pPr>
      <w:r w:rsidRPr="007020AA">
        <w:rPr>
          <w:rFonts w:ascii="Arial" w:hAnsi="Arial" w:cs="Arial"/>
          <w:color w:val="010000"/>
          <w:sz w:val="20"/>
        </w:rPr>
        <w:t xml:space="preserve">The </w:t>
      </w:r>
      <w:r w:rsidR="006054CD">
        <w:rPr>
          <w:rFonts w:ascii="Arial" w:hAnsi="Arial" w:cs="Arial"/>
          <w:color w:val="010000"/>
          <w:sz w:val="20"/>
        </w:rPr>
        <w:t>General Meeting</w:t>
      </w:r>
      <w:r w:rsidRPr="007020AA">
        <w:rPr>
          <w:rFonts w:ascii="Arial" w:hAnsi="Arial" w:cs="Arial"/>
          <w:color w:val="010000"/>
          <w:sz w:val="20"/>
        </w:rPr>
        <w:t>;</w:t>
      </w:r>
    </w:p>
    <w:p w14:paraId="1B05C0EE" w14:textId="66707043" w:rsidR="00C8395E" w:rsidRPr="007020AA" w:rsidRDefault="004D6D03" w:rsidP="007B6C59">
      <w:pPr>
        <w:numPr>
          <w:ilvl w:val="0"/>
          <w:numId w:val="7"/>
        </w:numPr>
        <w:pBdr>
          <w:top w:val="nil"/>
          <w:left w:val="nil"/>
          <w:bottom w:val="nil"/>
          <w:right w:val="nil"/>
          <w:between w:val="nil"/>
        </w:pBdr>
        <w:tabs>
          <w:tab w:val="left" w:pos="360"/>
          <w:tab w:val="left" w:pos="450"/>
          <w:tab w:val="left" w:pos="1943"/>
        </w:tabs>
        <w:spacing w:after="120" w:line="360" w:lineRule="auto"/>
        <w:jc w:val="both"/>
        <w:rPr>
          <w:rFonts w:ascii="Arial" w:hAnsi="Arial" w:cs="Arial"/>
          <w:color w:val="010000"/>
          <w:sz w:val="20"/>
          <w:szCs w:val="20"/>
        </w:rPr>
      </w:pPr>
      <w:r w:rsidRPr="007020AA">
        <w:rPr>
          <w:rFonts w:ascii="Arial" w:hAnsi="Arial" w:cs="Arial"/>
          <w:color w:val="010000"/>
          <w:sz w:val="20"/>
        </w:rPr>
        <w:t>The Board of Directors;</w:t>
      </w:r>
    </w:p>
    <w:p w14:paraId="46C72B93" w14:textId="77777777" w:rsidR="00C8395E" w:rsidRPr="007020AA" w:rsidRDefault="004D6D03" w:rsidP="007B6C59">
      <w:pPr>
        <w:numPr>
          <w:ilvl w:val="0"/>
          <w:numId w:val="7"/>
        </w:numPr>
        <w:pBdr>
          <w:top w:val="nil"/>
          <w:left w:val="nil"/>
          <w:bottom w:val="nil"/>
          <w:right w:val="nil"/>
          <w:between w:val="nil"/>
        </w:pBdr>
        <w:tabs>
          <w:tab w:val="left" w:pos="360"/>
          <w:tab w:val="left" w:pos="450"/>
          <w:tab w:val="left" w:pos="1943"/>
        </w:tabs>
        <w:spacing w:after="120" w:line="360" w:lineRule="auto"/>
        <w:jc w:val="both"/>
        <w:rPr>
          <w:rFonts w:ascii="Arial" w:hAnsi="Arial" w:cs="Arial"/>
          <w:color w:val="010000"/>
          <w:sz w:val="20"/>
          <w:szCs w:val="20"/>
        </w:rPr>
      </w:pPr>
      <w:r w:rsidRPr="007020AA">
        <w:rPr>
          <w:rFonts w:ascii="Arial" w:hAnsi="Arial" w:cs="Arial"/>
          <w:color w:val="010000"/>
          <w:sz w:val="20"/>
        </w:rPr>
        <w:t>Chair of the Board of Directors; and</w:t>
      </w:r>
    </w:p>
    <w:p w14:paraId="61DF7A52" w14:textId="08768136" w:rsidR="00C8395E" w:rsidRPr="007020AA" w:rsidRDefault="004D6D03" w:rsidP="007B6C59">
      <w:pPr>
        <w:numPr>
          <w:ilvl w:val="0"/>
          <w:numId w:val="7"/>
        </w:numPr>
        <w:pBdr>
          <w:top w:val="nil"/>
          <w:left w:val="nil"/>
          <w:bottom w:val="nil"/>
          <w:right w:val="nil"/>
          <w:between w:val="nil"/>
        </w:pBdr>
        <w:tabs>
          <w:tab w:val="left" w:pos="360"/>
          <w:tab w:val="left" w:pos="450"/>
          <w:tab w:val="left" w:pos="1943"/>
        </w:tabs>
        <w:spacing w:after="120" w:line="360" w:lineRule="auto"/>
        <w:jc w:val="both"/>
        <w:rPr>
          <w:rFonts w:ascii="Arial" w:hAnsi="Arial" w:cs="Arial"/>
          <w:color w:val="010000"/>
          <w:sz w:val="20"/>
          <w:szCs w:val="20"/>
        </w:rPr>
      </w:pPr>
      <w:r w:rsidRPr="007020AA">
        <w:rPr>
          <w:rFonts w:ascii="Arial" w:hAnsi="Arial" w:cs="Arial"/>
          <w:color w:val="010000"/>
          <w:sz w:val="20"/>
        </w:rPr>
        <w:t>General Manager.</w:t>
      </w:r>
    </w:p>
    <w:p w14:paraId="0C855632" w14:textId="77777777" w:rsidR="00C8395E" w:rsidRPr="007020AA" w:rsidRDefault="004D6D03" w:rsidP="007B6C59">
      <w:pPr>
        <w:keepNext/>
        <w:numPr>
          <w:ilvl w:val="0"/>
          <w:numId w:val="17"/>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Assign and authorize the Company's Board of Directors to decide:</w:t>
      </w:r>
    </w:p>
    <w:p w14:paraId="72486CCA" w14:textId="497B1519" w:rsidR="00C8395E" w:rsidRPr="007020AA" w:rsidRDefault="004D6D03" w:rsidP="007B6C59">
      <w:pPr>
        <w:numPr>
          <w:ilvl w:val="0"/>
          <w:numId w:val="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Relevant issues when implementing the Regulation on Decentralization of Investment in Real Estate Projects in Section 2 above, including supplementing, clarifying and continuing to proactively amend the contents and adjust the order of Articles, clauses, and points in accordance with the provisions of law and the actual situation between the two sessions of the </w:t>
      </w:r>
      <w:r w:rsidR="006054CD">
        <w:rPr>
          <w:rFonts w:ascii="Arial" w:hAnsi="Arial" w:cs="Arial"/>
          <w:color w:val="010000"/>
          <w:sz w:val="20"/>
        </w:rPr>
        <w:t>General Meeting</w:t>
      </w:r>
      <w:r w:rsidRPr="007020AA">
        <w:rPr>
          <w:rFonts w:ascii="Arial" w:hAnsi="Arial" w:cs="Arial"/>
          <w:color w:val="010000"/>
          <w:sz w:val="20"/>
        </w:rPr>
        <w:t xml:space="preserve">, as well as </w:t>
      </w:r>
      <w:r w:rsidRPr="007020AA">
        <w:rPr>
          <w:rFonts w:ascii="Arial" w:hAnsi="Arial" w:cs="Arial"/>
          <w:color w:val="010000"/>
          <w:sz w:val="20"/>
        </w:rPr>
        <w:lastRenderedPageBreak/>
        <w:t>the semantics of words and spelling in the Regulation.</w:t>
      </w:r>
    </w:p>
    <w:p w14:paraId="5F827D2A" w14:textId="77777777" w:rsidR="00C8395E" w:rsidRPr="007020AA" w:rsidRDefault="004D6D03" w:rsidP="007B6C59">
      <w:pPr>
        <w:numPr>
          <w:ilvl w:val="0"/>
          <w:numId w:val="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Make amendments and supplements to other relevant internal regulations in accordance with the Charter and Regulation on Decentralization of Investment in Real Estate Projects.</w:t>
      </w:r>
    </w:p>
    <w:p w14:paraId="2C0890CC" w14:textId="77777777" w:rsidR="00C8395E" w:rsidRPr="007020AA" w:rsidRDefault="004D6D03" w:rsidP="007B6C59">
      <w:pPr>
        <w:keepNext/>
        <w:numPr>
          <w:ilvl w:val="1"/>
          <w:numId w:val="9"/>
        </w:numPr>
        <w:pBdr>
          <w:top w:val="nil"/>
          <w:left w:val="nil"/>
          <w:bottom w:val="nil"/>
          <w:right w:val="nil"/>
          <w:between w:val="nil"/>
        </w:pBdr>
        <w:tabs>
          <w:tab w:val="left" w:pos="360"/>
          <w:tab w:val="left" w:pos="450"/>
          <w:tab w:val="left" w:pos="866"/>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plan to amend and supplement the charter.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5FA7A219" w14:textId="77777777" w:rsidR="00C8395E" w:rsidRPr="007020AA" w:rsidRDefault="004D6D03" w:rsidP="007B6C59">
      <w:pPr>
        <w:numPr>
          <w:ilvl w:val="0"/>
          <w:numId w:val="4"/>
        </w:numPr>
        <w:pBdr>
          <w:top w:val="nil"/>
          <w:left w:val="nil"/>
          <w:bottom w:val="nil"/>
          <w:right w:val="nil"/>
          <w:between w:val="nil"/>
        </w:pBdr>
        <w:tabs>
          <w:tab w:val="left" w:pos="360"/>
          <w:tab w:val="left" w:pos="450"/>
          <w:tab w:val="left" w:pos="1006"/>
        </w:tabs>
        <w:spacing w:after="120" w:line="360" w:lineRule="auto"/>
        <w:jc w:val="both"/>
        <w:rPr>
          <w:rFonts w:ascii="Arial" w:eastAsia="Arial" w:hAnsi="Arial" w:cs="Arial"/>
          <w:color w:val="010000"/>
          <w:sz w:val="20"/>
          <w:szCs w:val="20"/>
        </w:rPr>
      </w:pPr>
      <w:r w:rsidRPr="007020AA">
        <w:rPr>
          <w:rFonts w:ascii="Arial" w:hAnsi="Arial" w:cs="Arial"/>
          <w:color w:val="010000"/>
          <w:sz w:val="20"/>
        </w:rPr>
        <w:t>Approve the amendments and supplements to the Company's Charter.</w:t>
      </w:r>
    </w:p>
    <w:p w14:paraId="3D027791" w14:textId="77777777" w:rsidR="00C8395E" w:rsidRPr="007020AA" w:rsidRDefault="004D6D03" w:rsidP="007B6C59">
      <w:pPr>
        <w:numPr>
          <w:ilvl w:val="0"/>
          <w:numId w:val="4"/>
        </w:numPr>
        <w:pBdr>
          <w:top w:val="nil"/>
          <w:left w:val="nil"/>
          <w:bottom w:val="nil"/>
          <w:right w:val="nil"/>
          <w:between w:val="nil"/>
        </w:pBdr>
        <w:tabs>
          <w:tab w:val="left" w:pos="360"/>
          <w:tab w:val="left" w:pos="450"/>
          <w:tab w:val="left" w:pos="1006"/>
        </w:tabs>
        <w:spacing w:after="120" w:line="360" w:lineRule="auto"/>
        <w:jc w:val="both"/>
        <w:rPr>
          <w:rFonts w:ascii="Arial" w:eastAsia="Arial" w:hAnsi="Arial" w:cs="Arial"/>
          <w:color w:val="010000"/>
          <w:sz w:val="20"/>
          <w:szCs w:val="20"/>
        </w:rPr>
      </w:pPr>
      <w:r w:rsidRPr="007020AA">
        <w:rPr>
          <w:rFonts w:ascii="Arial" w:hAnsi="Arial" w:cs="Arial"/>
          <w:color w:val="010000"/>
          <w:sz w:val="20"/>
        </w:rPr>
        <w:t>Assign and authorize the Company's Board of Directors to decide:</w:t>
      </w:r>
    </w:p>
    <w:p w14:paraId="22B1D164" w14:textId="21DD850E" w:rsidR="00C8395E" w:rsidRPr="007020AA" w:rsidRDefault="004D6D03" w:rsidP="007B6C59">
      <w:pPr>
        <w:numPr>
          <w:ilvl w:val="0"/>
          <w:numId w:val="6"/>
        </w:num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Relevant issues when supplementing and amending the Company’s Charter in Section 1 above, including supplementing, clarifying and continuing to proactively amend the contents and adjust the order of Articles, clauses, and points in accordance with the provisions of law and the actual situation between the two sessions of the </w:t>
      </w:r>
      <w:r w:rsidR="006054CD">
        <w:rPr>
          <w:rFonts w:ascii="Arial" w:hAnsi="Arial" w:cs="Arial"/>
          <w:color w:val="010000"/>
          <w:sz w:val="20"/>
        </w:rPr>
        <w:t>General Meeting</w:t>
      </w:r>
      <w:r w:rsidRPr="007020AA">
        <w:rPr>
          <w:rFonts w:ascii="Arial" w:hAnsi="Arial" w:cs="Arial"/>
          <w:color w:val="010000"/>
          <w:sz w:val="20"/>
        </w:rPr>
        <w:t>, as well as the semantics of words and spelling in the Charter.</w:t>
      </w:r>
    </w:p>
    <w:p w14:paraId="1ABAA965" w14:textId="77777777" w:rsidR="00C8395E" w:rsidRPr="007020AA" w:rsidRDefault="004D6D03" w:rsidP="007B6C59">
      <w:pPr>
        <w:numPr>
          <w:ilvl w:val="0"/>
          <w:numId w:val="6"/>
        </w:numPr>
        <w:pBdr>
          <w:top w:val="nil"/>
          <w:left w:val="nil"/>
          <w:bottom w:val="nil"/>
          <w:right w:val="nil"/>
          <w:between w:val="nil"/>
        </w:pBdr>
        <w:tabs>
          <w:tab w:val="left" w:pos="360"/>
          <w:tab w:val="left" w:pos="450"/>
          <w:tab w:val="left" w:pos="1366"/>
        </w:tabs>
        <w:spacing w:after="120" w:line="360" w:lineRule="auto"/>
        <w:jc w:val="both"/>
        <w:rPr>
          <w:rFonts w:ascii="Arial" w:eastAsia="Arial" w:hAnsi="Arial" w:cs="Arial"/>
          <w:color w:val="010000"/>
          <w:sz w:val="20"/>
          <w:szCs w:val="20"/>
        </w:rPr>
      </w:pPr>
      <w:r w:rsidRPr="007020AA">
        <w:rPr>
          <w:rFonts w:ascii="Arial" w:hAnsi="Arial" w:cs="Arial"/>
          <w:color w:val="010000"/>
          <w:sz w:val="20"/>
        </w:rPr>
        <w:t>Relevant issues in reporting and registering with relevant agencies on amendments, supplements and adjustments to the contents of the Charter in Sections 1 and 2 (</w:t>
      </w:r>
      <w:proofErr w:type="spellStart"/>
      <w:r w:rsidRPr="007020AA">
        <w:rPr>
          <w:rFonts w:ascii="Arial" w:hAnsi="Arial" w:cs="Arial"/>
          <w:color w:val="010000"/>
          <w:sz w:val="20"/>
        </w:rPr>
        <w:t>i</w:t>
      </w:r>
      <w:proofErr w:type="spellEnd"/>
      <w:r w:rsidRPr="007020AA">
        <w:rPr>
          <w:rFonts w:ascii="Arial" w:hAnsi="Arial" w:cs="Arial"/>
          <w:color w:val="010000"/>
          <w:sz w:val="20"/>
        </w:rPr>
        <w:t>) above.</w:t>
      </w:r>
    </w:p>
    <w:p w14:paraId="060146C9" w14:textId="77777777" w:rsidR="00C8395E" w:rsidRPr="007020AA" w:rsidRDefault="004D6D03" w:rsidP="007B6C59">
      <w:pPr>
        <w:numPr>
          <w:ilvl w:val="0"/>
          <w:numId w:val="6"/>
        </w:numPr>
        <w:pBdr>
          <w:top w:val="nil"/>
          <w:left w:val="nil"/>
          <w:bottom w:val="nil"/>
          <w:right w:val="nil"/>
          <w:between w:val="nil"/>
        </w:pBdr>
        <w:tabs>
          <w:tab w:val="left" w:pos="360"/>
          <w:tab w:val="left" w:pos="450"/>
          <w:tab w:val="left" w:pos="1366"/>
        </w:tabs>
        <w:spacing w:after="120" w:line="360" w:lineRule="auto"/>
        <w:jc w:val="both"/>
        <w:rPr>
          <w:rFonts w:ascii="Arial" w:eastAsia="Arial" w:hAnsi="Arial" w:cs="Arial"/>
          <w:color w:val="010000"/>
          <w:sz w:val="20"/>
          <w:szCs w:val="20"/>
        </w:rPr>
      </w:pPr>
      <w:r w:rsidRPr="007020AA">
        <w:rPr>
          <w:rFonts w:ascii="Arial" w:hAnsi="Arial" w:cs="Arial"/>
          <w:color w:val="010000"/>
          <w:sz w:val="20"/>
        </w:rPr>
        <w:t>Make amendments and supplements to other relevant internal regulations to be consistent with the new Charter.</w:t>
      </w:r>
    </w:p>
    <w:p w14:paraId="7A053E3F" w14:textId="77777777" w:rsidR="00C8395E" w:rsidRPr="007020AA" w:rsidRDefault="004D6D03" w:rsidP="007B6C59">
      <w:pPr>
        <w:numPr>
          <w:ilvl w:val="0"/>
          <w:numId w:val="6"/>
        </w:numPr>
        <w:pBdr>
          <w:top w:val="nil"/>
          <w:left w:val="nil"/>
          <w:bottom w:val="nil"/>
          <w:right w:val="nil"/>
          <w:between w:val="nil"/>
        </w:pBdr>
        <w:tabs>
          <w:tab w:val="left" w:pos="360"/>
          <w:tab w:val="left" w:pos="450"/>
          <w:tab w:val="left" w:pos="1006"/>
        </w:tabs>
        <w:spacing w:after="120" w:line="360" w:lineRule="auto"/>
        <w:jc w:val="both"/>
        <w:rPr>
          <w:rFonts w:ascii="Arial" w:eastAsia="Arial" w:hAnsi="Arial" w:cs="Arial"/>
          <w:color w:val="010000"/>
          <w:sz w:val="20"/>
          <w:szCs w:val="20"/>
        </w:rPr>
      </w:pPr>
      <w:r w:rsidRPr="007020AA">
        <w:rPr>
          <w:rFonts w:ascii="Arial" w:hAnsi="Arial" w:cs="Arial"/>
          <w:color w:val="010000"/>
          <w:sz w:val="20"/>
        </w:rPr>
        <w:t>Assign the legal representative of the Company to review, complete and sign the new Charter of the Company.</w:t>
      </w:r>
    </w:p>
    <w:p w14:paraId="3631DDB0" w14:textId="77777777" w:rsidR="00C8395E" w:rsidRPr="007020AA" w:rsidRDefault="004D6D03" w:rsidP="007B6C59">
      <w:pPr>
        <w:keepNext/>
        <w:numPr>
          <w:ilvl w:val="1"/>
          <w:numId w:val="9"/>
        </w:numPr>
        <w:pBdr>
          <w:top w:val="nil"/>
          <w:left w:val="nil"/>
          <w:bottom w:val="nil"/>
          <w:right w:val="nil"/>
          <w:between w:val="nil"/>
        </w:pBdr>
        <w:tabs>
          <w:tab w:val="left" w:pos="360"/>
          <w:tab w:val="left" w:pos="450"/>
          <w:tab w:val="left" w:pos="866"/>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adjustment plan for Viet Duc Legend City Urban Area Project - Capital sources participating in project investment and some issues related to the project during implementation. </w:t>
      </w:r>
      <w:proofErr w:type="gramStart"/>
      <w:r w:rsidRPr="007020AA">
        <w:rPr>
          <w:rFonts w:ascii="Arial" w:hAnsi="Arial" w:cs="Arial"/>
          <w:color w:val="010000"/>
          <w:sz w:val="20"/>
        </w:rPr>
        <w:t>Specifically</w:t>
      </w:r>
      <w:proofErr w:type="gramEnd"/>
      <w:r w:rsidRPr="007020AA">
        <w:rPr>
          <w:rFonts w:ascii="Arial" w:hAnsi="Arial" w:cs="Arial"/>
          <w:color w:val="010000"/>
          <w:sz w:val="20"/>
        </w:rPr>
        <w:t xml:space="preserve"> as follows:</w:t>
      </w:r>
    </w:p>
    <w:p w14:paraId="32128ADF" w14:textId="55AFD224"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Viet Duc Legend City Urban Area project has been approved by the People's Committee of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 for Vietnam Germany Steel Pipe JSC to be the project's investor in Decision No. 2204/QD-UBND dated August 10, 2010; Decision No. 2604/QD-UBND dated September 29, 2011 allowing investment in the </w:t>
      </w:r>
      <w:proofErr w:type="spellStart"/>
      <w:r w:rsidRPr="007020AA">
        <w:rPr>
          <w:rFonts w:ascii="Arial" w:hAnsi="Arial" w:cs="Arial"/>
          <w:color w:val="010000"/>
          <w:sz w:val="20"/>
        </w:rPr>
        <w:t>Vietduc</w:t>
      </w:r>
      <w:proofErr w:type="spellEnd"/>
      <w:r w:rsidRPr="007020AA">
        <w:rPr>
          <w:rFonts w:ascii="Arial" w:hAnsi="Arial" w:cs="Arial"/>
          <w:color w:val="010000"/>
          <w:sz w:val="20"/>
        </w:rPr>
        <w:t xml:space="preserve"> Legend City Urban Area project; Document No. 2902/UBND-CN3 dated April 21, 2020. The project has an area of 620,798</w:t>
      </w:r>
      <w:r w:rsidR="007B6C59">
        <w:rPr>
          <w:rFonts w:ascii="Arial" w:hAnsi="Arial" w:cs="Arial"/>
          <w:color w:val="010000"/>
          <w:sz w:val="20"/>
        </w:rPr>
        <w:t>sqm</w:t>
      </w:r>
      <w:r w:rsidRPr="007020AA">
        <w:rPr>
          <w:rFonts w:ascii="Arial" w:hAnsi="Arial" w:cs="Arial"/>
          <w:color w:val="010000"/>
          <w:sz w:val="20"/>
        </w:rPr>
        <w:t xml:space="preserve"> at the intersection of Me Linh new urban main road with National Highway 2A, Dao Duc Town, </w:t>
      </w:r>
      <w:proofErr w:type="spellStart"/>
      <w:r w:rsidRPr="007020AA">
        <w:rPr>
          <w:rFonts w:ascii="Arial" w:hAnsi="Arial" w:cs="Arial"/>
          <w:color w:val="010000"/>
          <w:sz w:val="20"/>
        </w:rPr>
        <w:t>Binh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Xuyen</w:t>
      </w:r>
      <w:proofErr w:type="spellEnd"/>
      <w:r w:rsidRPr="007020AA">
        <w:rPr>
          <w:rFonts w:ascii="Arial" w:hAnsi="Arial" w:cs="Arial"/>
          <w:color w:val="010000"/>
          <w:sz w:val="20"/>
        </w:rPr>
        <w:t xml:space="preserve"> District,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w:t>
      </w:r>
    </w:p>
    <w:p w14:paraId="0C665000" w14:textId="77777777" w:rsidR="00C8395E" w:rsidRPr="007020AA" w:rsidRDefault="004D6D03" w:rsidP="007B6C59">
      <w:pPr>
        <w:numPr>
          <w:ilvl w:val="0"/>
          <w:numId w:val="8"/>
        </w:numPr>
        <w:pBdr>
          <w:top w:val="nil"/>
          <w:left w:val="nil"/>
          <w:bottom w:val="nil"/>
          <w:right w:val="nil"/>
          <w:between w:val="nil"/>
        </w:pBdr>
        <w:tabs>
          <w:tab w:val="left" w:pos="360"/>
          <w:tab w:val="left" w:pos="450"/>
          <w:tab w:val="left" w:pos="983"/>
        </w:tabs>
        <w:spacing w:after="120" w:line="360" w:lineRule="auto"/>
        <w:jc w:val="both"/>
        <w:rPr>
          <w:rFonts w:ascii="Arial" w:eastAsia="Arial" w:hAnsi="Arial" w:cs="Arial"/>
          <w:color w:val="010000"/>
          <w:sz w:val="20"/>
          <w:szCs w:val="20"/>
        </w:rPr>
      </w:pPr>
      <w:r w:rsidRPr="007020AA">
        <w:rPr>
          <w:rFonts w:ascii="Arial" w:hAnsi="Arial" w:cs="Arial"/>
          <w:color w:val="010000"/>
          <w:sz w:val="20"/>
        </w:rPr>
        <w:t>The project implementation progress up to the present</w:t>
      </w:r>
    </w:p>
    <w:p w14:paraId="4C17D250"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Progress in implementing the main operational goals of the project in recent times has been focusing on compensation, site clearance for phase 1 and preparation for infrastructure investment in phase 1.</w:t>
      </w:r>
    </w:p>
    <w:p w14:paraId="48EC1763" w14:textId="68233C2A"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The project has been assigned in 2 phases with an area of 214,481.4</w:t>
      </w:r>
      <w:r w:rsidR="007B6C59">
        <w:rPr>
          <w:rFonts w:ascii="Arial" w:hAnsi="Arial" w:cs="Arial"/>
          <w:color w:val="010000"/>
          <w:sz w:val="20"/>
        </w:rPr>
        <w:t>sqm</w:t>
      </w:r>
      <w:r w:rsidRPr="007020AA">
        <w:rPr>
          <w:rFonts w:ascii="Arial" w:hAnsi="Arial" w:cs="Arial"/>
          <w:color w:val="010000"/>
          <w:sz w:val="20"/>
        </w:rPr>
        <w:t xml:space="preserve"> in Decision No. 2954/QD-UBND dated October 26, 2021 and No. 1829/QD-UBND dated July 22, 2020; No. 341/QD-UBND dated February 23, 2024. Land use fees paid: VND 560.38 billion from 2 rounds of land allocation. And the Provincial People's Committee decided to adjust land allocation according to the 1/500 planning.</w:t>
      </w:r>
    </w:p>
    <w:p w14:paraId="244A0004"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The project has been approved on Environmental Impact Assessment in Decision No. 3229/QD-</w:t>
      </w:r>
      <w:r w:rsidRPr="007020AA">
        <w:rPr>
          <w:rFonts w:ascii="Arial" w:hAnsi="Arial" w:cs="Arial"/>
          <w:color w:val="010000"/>
          <w:sz w:val="20"/>
        </w:rPr>
        <w:lastRenderedPageBreak/>
        <w:t>UBND dated December 29, 2019; approved on Fire Prevention and Fighting in Decision No. 142/PC dated July 21, 2020; Approved on housing design adjustments in Document No. 8408/UBND-CN3 dated September 24, 2021.</w:t>
      </w:r>
    </w:p>
    <w:p w14:paraId="45EF6521"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The project has been approved by the People's Committee of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 to adjust the investment policy and approved the investor in Decision No. 1177/QD-UBND dated May 31, 2023.</w:t>
      </w:r>
    </w:p>
    <w:p w14:paraId="0C078E5D"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The project has been appraised by the Ministry of Construction for the following categories: Technical infrastructure system of the entire project, low-rise housing projects (phase 1), high-rise social housing projects (phase 1) and Wastewater Treatment Station No. 2 according to Document No. 234/HDXD -QLKT on September 22, 2023.</w:t>
      </w:r>
    </w:p>
    <w:p w14:paraId="18ED446E"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The project has been approved by the Ministry of Natural Resources and Environment on the appraisal results of the project's environmental impact assessment report according to Decision No. 3501/QD-BTNMT dated November 27, 2023.</w:t>
      </w:r>
    </w:p>
    <w:p w14:paraId="6166DDBE"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The project has been approved by the Fire Prevention and Rescue Police Department of the Ministry of Public Security for the Fire Prevention and Fighting design for Phase 1 technical infrastructure including: Roads serving fire engines and outdoor </w:t>
      </w:r>
      <w:proofErr w:type="spellStart"/>
      <w:r w:rsidRPr="007020AA">
        <w:rPr>
          <w:rFonts w:ascii="Arial" w:hAnsi="Arial" w:cs="Arial"/>
          <w:color w:val="010000"/>
          <w:sz w:val="20"/>
        </w:rPr>
        <w:t>fire fighting</w:t>
      </w:r>
      <w:proofErr w:type="spellEnd"/>
      <w:r w:rsidRPr="007020AA">
        <w:rPr>
          <w:rFonts w:ascii="Arial" w:hAnsi="Arial" w:cs="Arial"/>
          <w:color w:val="010000"/>
          <w:sz w:val="20"/>
        </w:rPr>
        <w:t xml:space="preserve"> water supply system in Certificate No. 509/TD-PCCC dated February 6, 2024.</w:t>
      </w:r>
    </w:p>
    <w:p w14:paraId="42559B30" w14:textId="77777777" w:rsidR="00C8395E" w:rsidRPr="007020AA" w:rsidRDefault="004D6D03" w:rsidP="007B6C59">
      <w:pPr>
        <w:numPr>
          <w:ilvl w:val="0"/>
          <w:numId w:val="1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Currently, the Project Management Board is coordinating with relevant agencies to complete site clearance compensation for the remaining area of Phase 1 and implementation for Phase 2 and complete urban area infrastructure licensing procedures.</w:t>
      </w:r>
    </w:p>
    <w:p w14:paraId="692F601E" w14:textId="77777777" w:rsidR="00C8395E" w:rsidRPr="007020AA" w:rsidRDefault="004D6D03" w:rsidP="007B6C59">
      <w:pPr>
        <w:numPr>
          <w:ilvl w:val="0"/>
          <w:numId w:val="11"/>
        </w:numPr>
        <w:pBdr>
          <w:top w:val="nil"/>
          <w:left w:val="nil"/>
          <w:bottom w:val="nil"/>
          <w:right w:val="nil"/>
          <w:between w:val="nil"/>
        </w:pBdr>
        <w:tabs>
          <w:tab w:val="left" w:pos="360"/>
          <w:tab w:val="left" w:pos="450"/>
          <w:tab w:val="left" w:pos="983"/>
        </w:tabs>
        <w:spacing w:after="120" w:line="360" w:lineRule="auto"/>
        <w:jc w:val="both"/>
        <w:rPr>
          <w:rFonts w:ascii="Arial" w:eastAsia="Arial" w:hAnsi="Arial" w:cs="Arial"/>
          <w:color w:val="010000"/>
          <w:sz w:val="20"/>
          <w:szCs w:val="20"/>
        </w:rPr>
      </w:pPr>
      <w:r w:rsidRPr="007020AA">
        <w:rPr>
          <w:rFonts w:ascii="Arial" w:hAnsi="Arial" w:cs="Arial"/>
          <w:color w:val="010000"/>
          <w:sz w:val="20"/>
        </w:rPr>
        <w:t>Contents and reasons for requesting project adjustments</w:t>
      </w:r>
    </w:p>
    <w:p w14:paraId="59875D60"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The Viet Duc Legend City Urban Area project needs to adjust 03 contents including: Adjust the Project's Construction Scale; Total Project Investment Capital; and Project Implementation Progress. Reasons for adjustment are as follows:</w:t>
      </w:r>
    </w:p>
    <w:p w14:paraId="39161D18" w14:textId="77777777" w:rsidR="00C8395E" w:rsidRPr="007020AA" w:rsidRDefault="004D6D03" w:rsidP="007B6C59">
      <w:pPr>
        <w:numPr>
          <w:ilvl w:val="1"/>
          <w:numId w:val="23"/>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Regarding the investment scale of the project</w:t>
      </w:r>
    </w:p>
    <w:p w14:paraId="2066E6CE" w14:textId="429FD09C" w:rsidR="00C8395E" w:rsidRPr="007020AA" w:rsidRDefault="004D6D03" w:rsidP="007B6C59">
      <w:pPr>
        <w:numPr>
          <w:ilvl w:val="0"/>
          <w:numId w:val="24"/>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Total land area for project implementation: 620,798m2, divided into 2 phases: Phase 1 will be implemented on the area of: 275,159</w:t>
      </w:r>
      <w:r w:rsidR="007B6C59">
        <w:rPr>
          <w:rFonts w:ascii="Arial" w:hAnsi="Arial" w:cs="Arial"/>
          <w:color w:val="010000"/>
          <w:sz w:val="20"/>
        </w:rPr>
        <w:t>sqm</w:t>
      </w:r>
      <w:r w:rsidRPr="007020AA">
        <w:rPr>
          <w:rFonts w:ascii="Arial" w:hAnsi="Arial" w:cs="Arial"/>
          <w:color w:val="010000"/>
          <w:sz w:val="20"/>
        </w:rPr>
        <w:t>; Phase 2 will be implemented on the area of: 345,639</w:t>
      </w:r>
      <w:r w:rsidR="007B6C59">
        <w:rPr>
          <w:rFonts w:ascii="Arial" w:hAnsi="Arial" w:cs="Arial"/>
          <w:color w:val="010000"/>
          <w:sz w:val="20"/>
        </w:rPr>
        <w:t>sqm</w:t>
      </w:r>
    </w:p>
    <w:p w14:paraId="26B13272" w14:textId="77777777" w:rsidR="00C8395E" w:rsidRPr="007020AA" w:rsidRDefault="004D6D03" w:rsidP="007B6C59">
      <w:pPr>
        <w:numPr>
          <w:ilvl w:val="0"/>
          <w:numId w:val="24"/>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Products and services provided:</w:t>
      </w:r>
    </w:p>
    <w:p w14:paraId="76E90F6F" w14:textId="14B3DAE7" w:rsidR="00C8395E" w:rsidRPr="007020AA" w:rsidRDefault="004D6D03" w:rsidP="007B6C59">
      <w:pPr>
        <w:numPr>
          <w:ilvl w:val="0"/>
          <w:numId w:val="30"/>
        </w:numPr>
        <w:pBdr>
          <w:top w:val="nil"/>
          <w:left w:val="nil"/>
          <w:bottom w:val="nil"/>
          <w:right w:val="nil"/>
          <w:between w:val="nil"/>
        </w:pBdr>
        <w:tabs>
          <w:tab w:val="left" w:pos="360"/>
          <w:tab w:val="left" w:pos="450"/>
          <w:tab w:val="left" w:pos="1663"/>
        </w:tabs>
        <w:spacing w:after="120" w:line="360" w:lineRule="auto"/>
        <w:jc w:val="both"/>
        <w:rPr>
          <w:rFonts w:ascii="Arial" w:hAnsi="Arial" w:cs="Arial"/>
          <w:color w:val="010000"/>
          <w:sz w:val="20"/>
          <w:szCs w:val="20"/>
        </w:rPr>
      </w:pPr>
      <w:r w:rsidRPr="007020AA">
        <w:rPr>
          <w:rFonts w:ascii="Arial" w:hAnsi="Arial" w:cs="Arial"/>
          <w:color w:val="010000"/>
          <w:sz w:val="20"/>
        </w:rPr>
        <w:t xml:space="preserve">Housing products: </w:t>
      </w:r>
      <w:r w:rsidR="00785CC1">
        <w:rPr>
          <w:rFonts w:ascii="Arial" w:hAnsi="Arial" w:cs="Arial"/>
          <w:color w:val="010000"/>
          <w:sz w:val="20"/>
        </w:rPr>
        <w:t>Townhouses</w:t>
      </w:r>
      <w:r w:rsidRPr="007020AA">
        <w:rPr>
          <w:rFonts w:ascii="Arial" w:hAnsi="Arial" w:cs="Arial"/>
          <w:color w:val="010000"/>
          <w:sz w:val="20"/>
        </w:rPr>
        <w:t xml:space="preserve"> and villas that are built rough and the exterior is finished; Commercial apartment buildings and social apartment buildings that are completely built for transfer to customers.</w:t>
      </w:r>
    </w:p>
    <w:p w14:paraId="6602153A" w14:textId="77777777" w:rsidR="00C8395E" w:rsidRPr="007020AA" w:rsidRDefault="004D6D03" w:rsidP="007B6C59">
      <w:pPr>
        <w:numPr>
          <w:ilvl w:val="0"/>
          <w:numId w:val="30"/>
        </w:numPr>
        <w:pBdr>
          <w:top w:val="nil"/>
          <w:left w:val="nil"/>
          <w:bottom w:val="nil"/>
          <w:right w:val="nil"/>
          <w:between w:val="nil"/>
        </w:pBdr>
        <w:tabs>
          <w:tab w:val="left" w:pos="360"/>
          <w:tab w:val="left" w:pos="450"/>
          <w:tab w:val="left" w:pos="1663"/>
        </w:tabs>
        <w:spacing w:after="120" w:line="360" w:lineRule="auto"/>
        <w:jc w:val="both"/>
        <w:rPr>
          <w:rFonts w:ascii="Arial" w:hAnsi="Arial" w:cs="Arial"/>
          <w:color w:val="010000"/>
          <w:sz w:val="20"/>
          <w:szCs w:val="20"/>
        </w:rPr>
      </w:pPr>
      <w:r w:rsidRPr="007020AA">
        <w:rPr>
          <w:rFonts w:ascii="Arial" w:hAnsi="Arial" w:cs="Arial"/>
          <w:color w:val="010000"/>
          <w:sz w:val="20"/>
        </w:rPr>
        <w:t>Social infrastructure products: Commercial and service areas, preschools, inter-schools, medical facilities: will be completed and leased for business; The cultural house was completed and transferred to the local government.</w:t>
      </w:r>
    </w:p>
    <w:p w14:paraId="78F52E4E" w14:textId="77777777" w:rsidR="00C8395E" w:rsidRPr="007020AA" w:rsidRDefault="004D6D03" w:rsidP="007B6C59">
      <w:pPr>
        <w:numPr>
          <w:ilvl w:val="0"/>
          <w:numId w:val="30"/>
        </w:numPr>
        <w:pBdr>
          <w:top w:val="nil"/>
          <w:left w:val="nil"/>
          <w:bottom w:val="nil"/>
          <w:right w:val="nil"/>
          <w:between w:val="nil"/>
        </w:pBdr>
        <w:tabs>
          <w:tab w:val="left" w:pos="360"/>
          <w:tab w:val="left" w:pos="450"/>
          <w:tab w:val="left" w:pos="1552"/>
        </w:tabs>
        <w:spacing w:after="120" w:line="360" w:lineRule="auto"/>
        <w:jc w:val="both"/>
        <w:rPr>
          <w:rFonts w:ascii="Arial" w:hAnsi="Arial" w:cs="Arial"/>
          <w:color w:val="010000"/>
          <w:sz w:val="20"/>
          <w:szCs w:val="20"/>
        </w:rPr>
      </w:pPr>
      <w:r w:rsidRPr="007020AA">
        <w:rPr>
          <w:rFonts w:ascii="Arial" w:hAnsi="Arial" w:cs="Arial"/>
          <w:color w:val="010000"/>
          <w:sz w:val="20"/>
        </w:rPr>
        <w:t>Technical infrastructure products: Completely built and transferred to the operating management unit and local government.</w:t>
      </w:r>
    </w:p>
    <w:p w14:paraId="70FE572D" w14:textId="0509A3DF" w:rsidR="00C8395E" w:rsidRPr="007020AA" w:rsidRDefault="004D6D03" w:rsidP="007B6C59">
      <w:pPr>
        <w:numPr>
          <w:ilvl w:val="0"/>
          <w:numId w:val="2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lastRenderedPageBreak/>
        <w:t>Construction scale:</w:t>
      </w:r>
    </w:p>
    <w:p w14:paraId="68634877" w14:textId="53D8D64C" w:rsidR="00C8395E" w:rsidRPr="007020AA" w:rsidRDefault="004D6D03" w:rsidP="007B6C59">
      <w:pPr>
        <w:numPr>
          <w:ilvl w:val="0"/>
          <w:numId w:val="30"/>
        </w:numPr>
        <w:pBdr>
          <w:top w:val="nil"/>
          <w:left w:val="nil"/>
          <w:bottom w:val="nil"/>
          <w:right w:val="nil"/>
          <w:between w:val="nil"/>
        </w:pBdr>
        <w:tabs>
          <w:tab w:val="left" w:pos="360"/>
          <w:tab w:val="left" w:pos="450"/>
          <w:tab w:val="left" w:pos="1552"/>
        </w:tabs>
        <w:spacing w:after="120" w:line="360" w:lineRule="auto"/>
        <w:jc w:val="both"/>
        <w:rPr>
          <w:rFonts w:ascii="Arial" w:hAnsi="Arial" w:cs="Arial"/>
          <w:color w:val="010000"/>
          <w:sz w:val="20"/>
          <w:szCs w:val="20"/>
        </w:rPr>
      </w:pPr>
      <w:r w:rsidRPr="007020AA">
        <w:rPr>
          <w:rFonts w:ascii="Arial" w:hAnsi="Arial" w:cs="Arial"/>
          <w:color w:val="010000"/>
          <w:sz w:val="20"/>
        </w:rPr>
        <w:t>Phase 1 will be implemented on the area of: 275,159</w:t>
      </w:r>
      <w:r w:rsidR="007B6C59">
        <w:rPr>
          <w:rFonts w:ascii="Arial" w:hAnsi="Arial" w:cs="Arial"/>
          <w:color w:val="010000"/>
          <w:sz w:val="20"/>
        </w:rPr>
        <w:t>sqm</w:t>
      </w:r>
      <w:r w:rsidRPr="007020AA">
        <w:rPr>
          <w:rFonts w:ascii="Arial" w:hAnsi="Arial" w:cs="Arial"/>
          <w:color w:val="010000"/>
          <w:sz w:val="20"/>
        </w:rPr>
        <w:t>. Including project items of:</w:t>
      </w:r>
    </w:p>
    <w:p w14:paraId="43DFE575" w14:textId="3462DE5C" w:rsidR="00C8395E" w:rsidRPr="007020AA" w:rsidRDefault="00785CC1"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Pr>
          <w:rFonts w:ascii="Arial" w:hAnsi="Arial" w:cs="Arial"/>
          <w:color w:val="010000"/>
          <w:sz w:val="20"/>
        </w:rPr>
        <w:t>Townhouses</w:t>
      </w:r>
      <w:r w:rsidR="004D6D03" w:rsidRPr="007020AA">
        <w:rPr>
          <w:rFonts w:ascii="Arial" w:hAnsi="Arial" w:cs="Arial"/>
          <w:color w:val="010000"/>
          <w:sz w:val="20"/>
        </w:rPr>
        <w:t>: Number of apartments: 197 units, Construction area: 26,111.0</w:t>
      </w:r>
      <w:r w:rsidR="007B6C59">
        <w:rPr>
          <w:rFonts w:ascii="Arial" w:hAnsi="Arial" w:cs="Arial"/>
          <w:color w:val="010000"/>
          <w:sz w:val="20"/>
        </w:rPr>
        <w:t>sqm</w:t>
      </w:r>
      <w:r w:rsidR="004D6D03" w:rsidRPr="007020AA">
        <w:rPr>
          <w:rFonts w:ascii="Arial" w:hAnsi="Arial" w:cs="Arial"/>
          <w:color w:val="010000"/>
          <w:sz w:val="20"/>
        </w:rPr>
        <w:t>, Construction floor area: 104,444.0</w:t>
      </w:r>
      <w:r w:rsidR="007B6C59">
        <w:rPr>
          <w:rFonts w:ascii="Arial" w:hAnsi="Arial" w:cs="Arial"/>
          <w:color w:val="010000"/>
          <w:sz w:val="20"/>
        </w:rPr>
        <w:t>sqm</w:t>
      </w:r>
      <w:r w:rsidR="004D6D03" w:rsidRPr="007020AA">
        <w:rPr>
          <w:rFonts w:ascii="Arial" w:hAnsi="Arial" w:cs="Arial"/>
          <w:color w:val="010000"/>
          <w:sz w:val="20"/>
        </w:rPr>
        <w:t xml:space="preserve">, number of floors: 5, construction density: 80%, </w:t>
      </w:r>
      <w:r w:rsidR="007B6C59">
        <w:rPr>
          <w:rFonts w:ascii="Arial" w:hAnsi="Arial" w:cs="Arial"/>
          <w:color w:val="010000"/>
          <w:sz w:val="20"/>
        </w:rPr>
        <w:t>floor area ratio</w:t>
      </w:r>
      <w:r w:rsidR="004D6D03" w:rsidRPr="007020AA">
        <w:rPr>
          <w:rFonts w:ascii="Arial" w:hAnsi="Arial" w:cs="Arial"/>
          <w:color w:val="010000"/>
          <w:sz w:val="20"/>
        </w:rPr>
        <w:t>: 4;</w:t>
      </w:r>
    </w:p>
    <w:p w14:paraId="7F728660" w14:textId="26CB30EF" w:rsidR="00C8395E" w:rsidRPr="007020AA" w:rsidRDefault="00785CC1"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Pr>
          <w:rFonts w:ascii="Arial" w:hAnsi="Arial" w:cs="Arial"/>
          <w:color w:val="010000"/>
          <w:sz w:val="20"/>
        </w:rPr>
        <w:t>Villas</w:t>
      </w:r>
      <w:r w:rsidR="004D6D03" w:rsidRPr="007020AA">
        <w:rPr>
          <w:rFonts w:ascii="Arial" w:hAnsi="Arial" w:cs="Arial"/>
          <w:color w:val="010000"/>
          <w:sz w:val="20"/>
        </w:rPr>
        <w:t>: Number of apartments: 201 units, Construction area: 54,270.0</w:t>
      </w:r>
      <w:r w:rsidR="007B6C59">
        <w:rPr>
          <w:rFonts w:ascii="Arial" w:hAnsi="Arial" w:cs="Arial"/>
          <w:color w:val="010000"/>
          <w:sz w:val="20"/>
        </w:rPr>
        <w:t>sqm</w:t>
      </w:r>
      <w:r w:rsidR="004D6D03" w:rsidRPr="007020AA">
        <w:rPr>
          <w:rFonts w:ascii="Arial" w:hAnsi="Arial" w:cs="Arial"/>
          <w:color w:val="010000"/>
          <w:sz w:val="20"/>
        </w:rPr>
        <w:t>, Construction floor area: 101,016.2</w:t>
      </w:r>
      <w:r w:rsidR="007B6C59">
        <w:rPr>
          <w:rFonts w:ascii="Arial" w:hAnsi="Arial" w:cs="Arial"/>
          <w:color w:val="010000"/>
          <w:sz w:val="20"/>
        </w:rPr>
        <w:t>sqm</w:t>
      </w:r>
      <w:r w:rsidR="004D6D03" w:rsidRPr="007020AA">
        <w:rPr>
          <w:rFonts w:ascii="Arial" w:hAnsi="Arial" w:cs="Arial"/>
          <w:color w:val="010000"/>
          <w:sz w:val="20"/>
        </w:rPr>
        <w:t xml:space="preserve">, number of floors: 3, construction density: 53-60%, </w:t>
      </w:r>
      <w:r w:rsidR="007B6C59">
        <w:rPr>
          <w:rFonts w:ascii="Arial" w:hAnsi="Arial" w:cs="Arial"/>
          <w:color w:val="010000"/>
          <w:sz w:val="20"/>
        </w:rPr>
        <w:t>floor area ratio</w:t>
      </w:r>
      <w:r w:rsidR="004D6D03" w:rsidRPr="007020AA">
        <w:rPr>
          <w:rFonts w:ascii="Arial" w:hAnsi="Arial" w:cs="Arial"/>
          <w:color w:val="010000"/>
          <w:sz w:val="20"/>
        </w:rPr>
        <w:t>: 1.59;</w:t>
      </w:r>
    </w:p>
    <w:p w14:paraId="679A1F03" w14:textId="3655DD2C" w:rsidR="00C8395E" w:rsidRPr="007020AA" w:rsidRDefault="004D6D03"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Commercial Apartment Building: Number of buildings: 02, Construction area: 15,750</w:t>
      </w:r>
      <w:r w:rsidR="007B6C59">
        <w:rPr>
          <w:rFonts w:ascii="Arial" w:hAnsi="Arial" w:cs="Arial"/>
          <w:color w:val="010000"/>
          <w:sz w:val="20"/>
        </w:rPr>
        <w:t>sqm</w:t>
      </w:r>
      <w:r w:rsidRPr="007020AA">
        <w:rPr>
          <w:rFonts w:ascii="Arial" w:hAnsi="Arial" w:cs="Arial"/>
          <w:color w:val="010000"/>
          <w:sz w:val="20"/>
        </w:rPr>
        <w:t>, Construction floor area: 90,536</w:t>
      </w:r>
      <w:r w:rsidR="007B6C59">
        <w:rPr>
          <w:rFonts w:ascii="Arial" w:hAnsi="Arial" w:cs="Arial"/>
          <w:color w:val="010000"/>
          <w:sz w:val="20"/>
        </w:rPr>
        <w:t>sqm</w:t>
      </w:r>
      <w:r w:rsidRPr="007020AA">
        <w:rPr>
          <w:rFonts w:ascii="Arial" w:hAnsi="Arial" w:cs="Arial"/>
          <w:color w:val="010000"/>
          <w:sz w:val="20"/>
        </w:rPr>
        <w:t xml:space="preserve">, number of floors: 20, construction density: 40%, </w:t>
      </w:r>
      <w:r w:rsidR="007B6C59">
        <w:rPr>
          <w:rFonts w:ascii="Arial" w:hAnsi="Arial" w:cs="Arial"/>
          <w:color w:val="010000"/>
          <w:sz w:val="20"/>
        </w:rPr>
        <w:t>floor area ratio</w:t>
      </w:r>
      <w:r w:rsidRPr="007020AA">
        <w:rPr>
          <w:rFonts w:ascii="Arial" w:hAnsi="Arial" w:cs="Arial"/>
          <w:color w:val="010000"/>
          <w:sz w:val="20"/>
        </w:rPr>
        <w:t>: 8.0;</w:t>
      </w:r>
    </w:p>
    <w:p w14:paraId="1EA4A5F6" w14:textId="33BFEAB6" w:rsidR="00C8395E" w:rsidRPr="007020AA" w:rsidRDefault="004D6D03"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Social housing: Number of buildings: 04, Construction area: 15,720</w:t>
      </w:r>
      <w:r w:rsidR="007B6C59">
        <w:rPr>
          <w:rFonts w:ascii="Arial" w:hAnsi="Arial" w:cs="Arial"/>
          <w:color w:val="010000"/>
          <w:sz w:val="20"/>
        </w:rPr>
        <w:t>sqm</w:t>
      </w:r>
      <w:r w:rsidRPr="007020AA">
        <w:rPr>
          <w:rFonts w:ascii="Arial" w:hAnsi="Arial" w:cs="Arial"/>
          <w:color w:val="010000"/>
          <w:sz w:val="20"/>
        </w:rPr>
        <w:t>, Construction floor area: 30,790</w:t>
      </w:r>
      <w:r w:rsidR="007B6C59">
        <w:rPr>
          <w:rFonts w:ascii="Arial" w:hAnsi="Arial" w:cs="Arial"/>
          <w:color w:val="010000"/>
          <w:sz w:val="20"/>
        </w:rPr>
        <w:t>sqm</w:t>
      </w:r>
      <w:r w:rsidRPr="007020AA">
        <w:rPr>
          <w:rFonts w:ascii="Arial" w:hAnsi="Arial" w:cs="Arial"/>
          <w:color w:val="010000"/>
          <w:sz w:val="20"/>
        </w:rPr>
        <w:t xml:space="preserve">, number of floors: 9, construction density: 40%, </w:t>
      </w:r>
      <w:r w:rsidR="007B6C59">
        <w:rPr>
          <w:rFonts w:ascii="Arial" w:hAnsi="Arial" w:cs="Arial"/>
          <w:color w:val="010000"/>
          <w:sz w:val="20"/>
        </w:rPr>
        <w:t>floor area ratio</w:t>
      </w:r>
      <w:r w:rsidRPr="007020AA">
        <w:rPr>
          <w:rFonts w:ascii="Arial" w:hAnsi="Arial" w:cs="Arial"/>
          <w:color w:val="010000"/>
          <w:sz w:val="20"/>
        </w:rPr>
        <w:t>: 3.6;</w:t>
      </w:r>
    </w:p>
    <w:p w14:paraId="2D7F891D" w14:textId="537C54EF" w:rsidR="00C8395E" w:rsidRPr="007020AA" w:rsidRDefault="004D6D03"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Commercial service area: Number of buildings: 05, Construction area: 18,652</w:t>
      </w:r>
      <w:r w:rsidR="007B6C59">
        <w:rPr>
          <w:rFonts w:ascii="Arial" w:hAnsi="Arial" w:cs="Arial"/>
          <w:color w:val="010000"/>
          <w:sz w:val="20"/>
        </w:rPr>
        <w:t>sqm</w:t>
      </w:r>
      <w:r w:rsidRPr="007020AA">
        <w:rPr>
          <w:rFonts w:ascii="Arial" w:hAnsi="Arial" w:cs="Arial"/>
          <w:color w:val="010000"/>
          <w:sz w:val="20"/>
        </w:rPr>
        <w:t>, Construction floor area: 55,956.0</w:t>
      </w:r>
      <w:r w:rsidR="007B6C59">
        <w:rPr>
          <w:rFonts w:ascii="Arial" w:hAnsi="Arial" w:cs="Arial"/>
          <w:color w:val="010000"/>
          <w:sz w:val="20"/>
        </w:rPr>
        <w:t>sqm</w:t>
      </w:r>
      <w:r w:rsidRPr="007020AA">
        <w:rPr>
          <w:rFonts w:ascii="Arial" w:hAnsi="Arial" w:cs="Arial"/>
          <w:color w:val="010000"/>
          <w:sz w:val="20"/>
        </w:rPr>
        <w:t xml:space="preserve">, number of floors: 5, construction density: 60%, </w:t>
      </w:r>
      <w:r w:rsidR="007B6C59">
        <w:rPr>
          <w:rFonts w:ascii="Arial" w:hAnsi="Arial" w:cs="Arial"/>
          <w:color w:val="010000"/>
          <w:sz w:val="20"/>
        </w:rPr>
        <w:t>floor area ratio</w:t>
      </w:r>
      <w:r w:rsidRPr="007020AA">
        <w:rPr>
          <w:rFonts w:ascii="Arial" w:hAnsi="Arial" w:cs="Arial"/>
          <w:color w:val="010000"/>
          <w:sz w:val="20"/>
        </w:rPr>
        <w:t>: 3.0;</w:t>
      </w:r>
    </w:p>
    <w:p w14:paraId="10BBE099" w14:textId="7580E0F2" w:rsidR="00C8395E" w:rsidRPr="007020AA" w:rsidRDefault="004D6D03"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Public construction: Construction area: 14,273</w:t>
      </w:r>
      <w:r w:rsidR="007B6C59">
        <w:rPr>
          <w:rFonts w:ascii="Arial" w:hAnsi="Arial" w:cs="Arial"/>
          <w:color w:val="010000"/>
          <w:sz w:val="20"/>
        </w:rPr>
        <w:t>sqm</w:t>
      </w:r>
      <w:r w:rsidRPr="007020AA">
        <w:rPr>
          <w:rFonts w:ascii="Arial" w:hAnsi="Arial" w:cs="Arial"/>
          <w:color w:val="010000"/>
          <w:sz w:val="20"/>
        </w:rPr>
        <w:t>, including: Cultural house (Construction area: 2,903.5</w:t>
      </w:r>
      <w:r w:rsidR="007B6C59">
        <w:rPr>
          <w:rFonts w:ascii="Arial" w:hAnsi="Arial" w:cs="Arial"/>
          <w:color w:val="010000"/>
          <w:sz w:val="20"/>
        </w:rPr>
        <w:t>sqm</w:t>
      </w:r>
      <w:r w:rsidRPr="007020AA">
        <w:rPr>
          <w:rFonts w:ascii="Arial" w:hAnsi="Arial" w:cs="Arial"/>
          <w:color w:val="010000"/>
          <w:sz w:val="20"/>
        </w:rPr>
        <w:t>, Construction floor area: 2,322.80</w:t>
      </w:r>
      <w:r w:rsidR="007B6C59">
        <w:rPr>
          <w:rFonts w:ascii="Arial" w:hAnsi="Arial" w:cs="Arial"/>
          <w:color w:val="010000"/>
          <w:sz w:val="20"/>
        </w:rPr>
        <w:t>sqm</w:t>
      </w:r>
      <w:r w:rsidRPr="007020AA">
        <w:rPr>
          <w:rFonts w:ascii="Arial" w:hAnsi="Arial" w:cs="Arial"/>
          <w:color w:val="010000"/>
          <w:sz w:val="20"/>
        </w:rPr>
        <w:t xml:space="preserve">, number of floors: 2 floors, construction density: 40%, </w:t>
      </w:r>
      <w:r w:rsidR="007B6C59">
        <w:rPr>
          <w:rFonts w:ascii="Arial" w:hAnsi="Arial" w:cs="Arial"/>
          <w:color w:val="010000"/>
          <w:sz w:val="20"/>
        </w:rPr>
        <w:t>floor area ratio</w:t>
      </w:r>
      <w:r w:rsidRPr="007020AA">
        <w:rPr>
          <w:rFonts w:ascii="Arial" w:hAnsi="Arial" w:cs="Arial"/>
          <w:color w:val="010000"/>
          <w:sz w:val="20"/>
        </w:rPr>
        <w:t>: 0.80), Preschool 1 (Construction area: 4,378.0</w:t>
      </w:r>
      <w:r w:rsidR="007B6C59">
        <w:rPr>
          <w:rFonts w:ascii="Arial" w:hAnsi="Arial" w:cs="Arial"/>
          <w:color w:val="010000"/>
          <w:sz w:val="20"/>
        </w:rPr>
        <w:t>sqm</w:t>
      </w:r>
      <w:r w:rsidRPr="007020AA">
        <w:rPr>
          <w:rFonts w:ascii="Arial" w:hAnsi="Arial" w:cs="Arial"/>
          <w:color w:val="010000"/>
          <w:sz w:val="20"/>
        </w:rPr>
        <w:t>, Construction floor area: 3,502.4</w:t>
      </w:r>
      <w:r w:rsidR="007B6C59">
        <w:rPr>
          <w:rFonts w:ascii="Arial" w:hAnsi="Arial" w:cs="Arial"/>
          <w:color w:val="010000"/>
          <w:sz w:val="20"/>
        </w:rPr>
        <w:t>sqm</w:t>
      </w:r>
      <w:r w:rsidRPr="007020AA">
        <w:rPr>
          <w:rFonts w:ascii="Arial" w:hAnsi="Arial" w:cs="Arial"/>
          <w:color w:val="010000"/>
          <w:sz w:val="20"/>
        </w:rPr>
        <w:t xml:space="preserve">, number of floors: 2 floors, construction density: 40%, </w:t>
      </w:r>
      <w:r w:rsidR="007B6C59">
        <w:rPr>
          <w:rFonts w:ascii="Arial" w:hAnsi="Arial" w:cs="Arial"/>
          <w:color w:val="010000"/>
          <w:sz w:val="20"/>
        </w:rPr>
        <w:t>floor area ratio</w:t>
      </w:r>
      <w:r w:rsidRPr="007020AA">
        <w:rPr>
          <w:rFonts w:ascii="Arial" w:hAnsi="Arial" w:cs="Arial"/>
          <w:color w:val="010000"/>
          <w:sz w:val="20"/>
        </w:rPr>
        <w:t>: 0.80), Preschool 2 (Construction area: 3,276</w:t>
      </w:r>
      <w:r w:rsidR="007B6C59">
        <w:rPr>
          <w:rFonts w:ascii="Arial" w:hAnsi="Arial" w:cs="Arial"/>
          <w:color w:val="010000"/>
          <w:sz w:val="20"/>
        </w:rPr>
        <w:t>sqm</w:t>
      </w:r>
      <w:r w:rsidRPr="007020AA">
        <w:rPr>
          <w:rFonts w:ascii="Arial" w:hAnsi="Arial" w:cs="Arial"/>
          <w:color w:val="010000"/>
          <w:sz w:val="20"/>
        </w:rPr>
        <w:t>, Construction floor area: 2,620.8</w:t>
      </w:r>
      <w:r w:rsidR="007B6C59">
        <w:rPr>
          <w:rFonts w:ascii="Arial" w:hAnsi="Arial" w:cs="Arial"/>
          <w:color w:val="010000"/>
          <w:sz w:val="20"/>
        </w:rPr>
        <w:t>sqm</w:t>
      </w:r>
      <w:r w:rsidRPr="007020AA">
        <w:rPr>
          <w:rFonts w:ascii="Arial" w:hAnsi="Arial" w:cs="Arial"/>
          <w:color w:val="010000"/>
          <w:sz w:val="20"/>
        </w:rPr>
        <w:t xml:space="preserve">, number of floors: 2, construction density: 40%, </w:t>
      </w:r>
      <w:r w:rsidR="007B6C59">
        <w:rPr>
          <w:rFonts w:ascii="Arial" w:hAnsi="Arial" w:cs="Arial"/>
          <w:color w:val="010000"/>
          <w:sz w:val="20"/>
        </w:rPr>
        <w:t>floor area ratio</w:t>
      </w:r>
      <w:r w:rsidRPr="007020AA">
        <w:rPr>
          <w:rFonts w:ascii="Arial" w:hAnsi="Arial" w:cs="Arial"/>
          <w:color w:val="010000"/>
          <w:sz w:val="20"/>
        </w:rPr>
        <w:t xml:space="preserve">: 0.80), Medical facility (Construction area: 3,715.5m2, Construction floor area: 4,458.6m2, number of floors: 3, construction density: 40%, </w:t>
      </w:r>
      <w:r w:rsidR="007B6C59">
        <w:rPr>
          <w:rFonts w:ascii="Arial" w:hAnsi="Arial" w:cs="Arial"/>
          <w:color w:val="010000"/>
          <w:sz w:val="20"/>
        </w:rPr>
        <w:t>floor area ratio</w:t>
      </w:r>
      <w:r w:rsidRPr="007020AA">
        <w:rPr>
          <w:rFonts w:ascii="Arial" w:hAnsi="Arial" w:cs="Arial"/>
          <w:color w:val="010000"/>
          <w:sz w:val="20"/>
        </w:rPr>
        <w:t>: 1.2).</w:t>
      </w:r>
    </w:p>
    <w:p w14:paraId="12A416DD" w14:textId="23408F0E" w:rsidR="00C8395E" w:rsidRPr="007020AA" w:rsidRDefault="004D6D03" w:rsidP="007B6C59">
      <w:pPr>
        <w:numPr>
          <w:ilvl w:val="0"/>
          <w:numId w:val="32"/>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Other categories include: Land for trees. For sports and exercises: 14,969.0</w:t>
      </w:r>
      <w:r w:rsidR="007B6C59">
        <w:rPr>
          <w:rFonts w:ascii="Arial" w:hAnsi="Arial" w:cs="Arial"/>
          <w:color w:val="010000"/>
          <w:sz w:val="20"/>
        </w:rPr>
        <w:t>sqm</w:t>
      </w:r>
      <w:r w:rsidRPr="007020AA">
        <w:rPr>
          <w:rFonts w:ascii="Arial" w:hAnsi="Arial" w:cs="Arial"/>
          <w:color w:val="010000"/>
          <w:sz w:val="20"/>
        </w:rPr>
        <w:t>; Land for green trees and flower gardens: 18,330</w:t>
      </w:r>
      <w:r w:rsidR="007B6C59">
        <w:rPr>
          <w:rFonts w:ascii="Arial" w:hAnsi="Arial" w:cs="Arial"/>
          <w:color w:val="010000"/>
          <w:sz w:val="20"/>
        </w:rPr>
        <w:t>sqm</w:t>
      </w:r>
      <w:r w:rsidRPr="007020AA">
        <w:rPr>
          <w:rFonts w:ascii="Arial" w:hAnsi="Arial" w:cs="Arial"/>
          <w:color w:val="010000"/>
          <w:sz w:val="20"/>
        </w:rPr>
        <w:t>; Land for roads and technical hubs: 87,424</w:t>
      </w:r>
      <w:r w:rsidR="007B6C59">
        <w:rPr>
          <w:rFonts w:ascii="Arial" w:hAnsi="Arial" w:cs="Arial"/>
          <w:color w:val="010000"/>
          <w:sz w:val="20"/>
        </w:rPr>
        <w:t>sqm</w:t>
      </w:r>
      <w:r w:rsidRPr="007020AA">
        <w:rPr>
          <w:rFonts w:ascii="Arial" w:hAnsi="Arial" w:cs="Arial"/>
          <w:color w:val="010000"/>
          <w:sz w:val="20"/>
        </w:rPr>
        <w:t>; Parking: 9,660</w:t>
      </w:r>
      <w:r w:rsidR="007B6C59">
        <w:rPr>
          <w:rFonts w:ascii="Arial" w:hAnsi="Arial" w:cs="Arial"/>
          <w:color w:val="010000"/>
          <w:sz w:val="20"/>
        </w:rPr>
        <w:t>sqm</w:t>
      </w:r>
      <w:r w:rsidRPr="007020AA">
        <w:rPr>
          <w:rFonts w:ascii="Arial" w:hAnsi="Arial" w:cs="Arial"/>
          <w:color w:val="010000"/>
          <w:sz w:val="20"/>
        </w:rPr>
        <w:t>.</w:t>
      </w:r>
    </w:p>
    <w:p w14:paraId="3C0DE87D" w14:textId="2A61253C" w:rsidR="00C8395E" w:rsidRPr="007020AA" w:rsidRDefault="004D6D03" w:rsidP="007B6C59">
      <w:pPr>
        <w:numPr>
          <w:ilvl w:val="0"/>
          <w:numId w:val="34"/>
        </w:numPr>
        <w:pBdr>
          <w:top w:val="nil"/>
          <w:left w:val="nil"/>
          <w:bottom w:val="nil"/>
          <w:right w:val="nil"/>
          <w:between w:val="nil"/>
        </w:pBdr>
        <w:tabs>
          <w:tab w:val="left" w:pos="360"/>
          <w:tab w:val="left" w:pos="450"/>
          <w:tab w:val="left" w:pos="1552"/>
        </w:tabs>
        <w:spacing w:after="120" w:line="360" w:lineRule="auto"/>
        <w:jc w:val="both"/>
        <w:rPr>
          <w:rFonts w:ascii="Arial" w:hAnsi="Arial" w:cs="Arial"/>
          <w:color w:val="010000"/>
          <w:sz w:val="20"/>
          <w:szCs w:val="20"/>
        </w:rPr>
      </w:pPr>
      <w:r w:rsidRPr="007020AA">
        <w:rPr>
          <w:rFonts w:ascii="Arial" w:hAnsi="Arial" w:cs="Arial"/>
          <w:color w:val="010000"/>
          <w:sz w:val="20"/>
        </w:rPr>
        <w:t>Phase 2 will be implemented on the area of: 345,639</w:t>
      </w:r>
      <w:r w:rsidR="007B6C59">
        <w:rPr>
          <w:rFonts w:ascii="Arial" w:hAnsi="Arial" w:cs="Arial"/>
          <w:color w:val="010000"/>
          <w:sz w:val="20"/>
        </w:rPr>
        <w:t>sqm</w:t>
      </w:r>
      <w:r w:rsidRPr="007020AA">
        <w:rPr>
          <w:rFonts w:ascii="Arial" w:hAnsi="Arial" w:cs="Arial"/>
          <w:color w:val="010000"/>
          <w:sz w:val="20"/>
        </w:rPr>
        <w:t>. Including project items of:</w:t>
      </w:r>
    </w:p>
    <w:p w14:paraId="7C9CD2D5" w14:textId="15B05C27" w:rsidR="00C8395E" w:rsidRPr="007020AA" w:rsidRDefault="00785CC1" w:rsidP="007B6C59">
      <w:pPr>
        <w:numPr>
          <w:ilvl w:val="0"/>
          <w:numId w:val="34"/>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Pr>
          <w:rFonts w:ascii="Arial" w:hAnsi="Arial" w:cs="Arial"/>
          <w:color w:val="010000"/>
          <w:sz w:val="20"/>
        </w:rPr>
        <w:t>Townhouses</w:t>
      </w:r>
      <w:r w:rsidR="004D6D03" w:rsidRPr="007020AA">
        <w:rPr>
          <w:rFonts w:ascii="Arial" w:hAnsi="Arial" w:cs="Arial"/>
          <w:color w:val="010000"/>
          <w:sz w:val="20"/>
        </w:rPr>
        <w:t>: Number of apartments: 185 units, Construction area: 26,353.0</w:t>
      </w:r>
      <w:r w:rsidR="007B6C59">
        <w:rPr>
          <w:rFonts w:ascii="Arial" w:hAnsi="Arial" w:cs="Arial"/>
          <w:color w:val="010000"/>
          <w:sz w:val="20"/>
        </w:rPr>
        <w:t>sqm</w:t>
      </w:r>
      <w:r w:rsidR="004D6D03" w:rsidRPr="007020AA">
        <w:rPr>
          <w:rFonts w:ascii="Arial" w:hAnsi="Arial" w:cs="Arial"/>
          <w:color w:val="010000"/>
          <w:sz w:val="20"/>
        </w:rPr>
        <w:t>, Construction floor area: 106,140.0</w:t>
      </w:r>
      <w:r w:rsidR="007B6C59">
        <w:rPr>
          <w:rFonts w:ascii="Arial" w:hAnsi="Arial" w:cs="Arial"/>
          <w:color w:val="010000"/>
          <w:sz w:val="20"/>
        </w:rPr>
        <w:t>sqm</w:t>
      </w:r>
      <w:r w:rsidR="004D6D03" w:rsidRPr="007020AA">
        <w:rPr>
          <w:rFonts w:ascii="Arial" w:hAnsi="Arial" w:cs="Arial"/>
          <w:color w:val="010000"/>
          <w:sz w:val="20"/>
        </w:rPr>
        <w:t xml:space="preserve">, number of floors: 5, construction density: 80%, </w:t>
      </w:r>
      <w:r w:rsidR="007B6C59">
        <w:rPr>
          <w:rFonts w:ascii="Arial" w:hAnsi="Arial" w:cs="Arial"/>
          <w:color w:val="010000"/>
          <w:sz w:val="20"/>
        </w:rPr>
        <w:t>floor area ratio</w:t>
      </w:r>
      <w:r w:rsidR="004D6D03" w:rsidRPr="007020AA">
        <w:rPr>
          <w:rFonts w:ascii="Arial" w:hAnsi="Arial" w:cs="Arial"/>
          <w:color w:val="010000"/>
          <w:sz w:val="20"/>
        </w:rPr>
        <w:t>: 4;</w:t>
      </w:r>
    </w:p>
    <w:p w14:paraId="275123E6" w14:textId="1349B8F4" w:rsidR="00C8395E" w:rsidRPr="007020AA" w:rsidRDefault="00785CC1" w:rsidP="007B6C59">
      <w:pPr>
        <w:numPr>
          <w:ilvl w:val="0"/>
          <w:numId w:val="34"/>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Pr>
          <w:rFonts w:ascii="Arial" w:hAnsi="Arial" w:cs="Arial"/>
          <w:color w:val="010000"/>
          <w:sz w:val="20"/>
        </w:rPr>
        <w:t>Villas</w:t>
      </w:r>
      <w:r w:rsidR="004D6D03" w:rsidRPr="007020AA">
        <w:rPr>
          <w:rFonts w:ascii="Arial" w:hAnsi="Arial" w:cs="Arial"/>
          <w:color w:val="010000"/>
          <w:sz w:val="20"/>
        </w:rPr>
        <w:t>: Number of apartments: 203 units, Construction area: 62,980</w:t>
      </w:r>
      <w:r w:rsidR="007B6C59">
        <w:rPr>
          <w:rFonts w:ascii="Arial" w:hAnsi="Arial" w:cs="Arial"/>
          <w:color w:val="010000"/>
          <w:sz w:val="20"/>
        </w:rPr>
        <w:t>sqm</w:t>
      </w:r>
      <w:r w:rsidR="004D6D03" w:rsidRPr="007020AA">
        <w:rPr>
          <w:rFonts w:ascii="Arial" w:hAnsi="Arial" w:cs="Arial"/>
          <w:color w:val="010000"/>
          <w:sz w:val="20"/>
        </w:rPr>
        <w:t>, Construction floor area: 103,917</w:t>
      </w:r>
      <w:r w:rsidR="007B6C59">
        <w:rPr>
          <w:rFonts w:ascii="Arial" w:hAnsi="Arial" w:cs="Arial"/>
          <w:color w:val="010000"/>
          <w:sz w:val="20"/>
        </w:rPr>
        <w:t>sqm</w:t>
      </w:r>
      <w:r w:rsidR="004D6D03" w:rsidRPr="007020AA">
        <w:rPr>
          <w:rFonts w:ascii="Arial" w:hAnsi="Arial" w:cs="Arial"/>
          <w:color w:val="010000"/>
          <w:sz w:val="20"/>
        </w:rPr>
        <w:t xml:space="preserve">, number of floors: 3, construction density: 55%, </w:t>
      </w:r>
      <w:r w:rsidR="007B6C59">
        <w:rPr>
          <w:rFonts w:ascii="Arial" w:hAnsi="Arial" w:cs="Arial"/>
          <w:color w:val="010000"/>
          <w:sz w:val="20"/>
        </w:rPr>
        <w:t>floor area ratio</w:t>
      </w:r>
      <w:r w:rsidR="004D6D03" w:rsidRPr="007020AA">
        <w:rPr>
          <w:rFonts w:ascii="Arial" w:hAnsi="Arial" w:cs="Arial"/>
          <w:color w:val="010000"/>
          <w:sz w:val="20"/>
        </w:rPr>
        <w:t>: 1.59;</w:t>
      </w:r>
    </w:p>
    <w:p w14:paraId="6EDB0565" w14:textId="580231FF" w:rsidR="00C8395E" w:rsidRPr="007020AA" w:rsidRDefault="004D6D03" w:rsidP="007B6C59">
      <w:pPr>
        <w:numPr>
          <w:ilvl w:val="0"/>
          <w:numId w:val="34"/>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Social housing: Number of buildings: 06, Construction area: 34,418</w:t>
      </w:r>
      <w:r w:rsidR="007B6C59">
        <w:rPr>
          <w:rFonts w:ascii="Arial" w:hAnsi="Arial" w:cs="Arial"/>
          <w:color w:val="010000"/>
          <w:sz w:val="20"/>
        </w:rPr>
        <w:t>sqm</w:t>
      </w:r>
      <w:r w:rsidRPr="007020AA">
        <w:rPr>
          <w:rFonts w:ascii="Arial" w:hAnsi="Arial" w:cs="Arial"/>
          <w:color w:val="010000"/>
          <w:sz w:val="20"/>
        </w:rPr>
        <w:t>, Construction floor area: 108,416.70</w:t>
      </w:r>
      <w:r w:rsidR="007B6C59">
        <w:rPr>
          <w:rFonts w:ascii="Arial" w:hAnsi="Arial" w:cs="Arial"/>
          <w:color w:val="010000"/>
          <w:sz w:val="20"/>
        </w:rPr>
        <w:t>sqm</w:t>
      </w:r>
      <w:r w:rsidRPr="007020AA">
        <w:rPr>
          <w:rFonts w:ascii="Arial" w:hAnsi="Arial" w:cs="Arial"/>
          <w:color w:val="010000"/>
          <w:sz w:val="20"/>
        </w:rPr>
        <w:t xml:space="preserve">, number of floors: 9, construction density: 35%, </w:t>
      </w:r>
      <w:r w:rsidR="007B6C59">
        <w:rPr>
          <w:rFonts w:ascii="Arial" w:hAnsi="Arial" w:cs="Arial"/>
          <w:color w:val="010000"/>
          <w:sz w:val="20"/>
        </w:rPr>
        <w:t>floor area ratio</w:t>
      </w:r>
      <w:r w:rsidRPr="007020AA">
        <w:rPr>
          <w:rFonts w:ascii="Arial" w:hAnsi="Arial" w:cs="Arial"/>
          <w:color w:val="010000"/>
          <w:sz w:val="20"/>
        </w:rPr>
        <w:t>: 3.15;</w:t>
      </w:r>
    </w:p>
    <w:p w14:paraId="636AE189" w14:textId="59AC0F13" w:rsidR="00C8395E" w:rsidRPr="007020AA" w:rsidRDefault="004D6D03" w:rsidP="007B6C59">
      <w:pPr>
        <w:numPr>
          <w:ilvl w:val="0"/>
          <w:numId w:val="34"/>
        </w:numPr>
        <w:pBdr>
          <w:top w:val="nil"/>
          <w:left w:val="nil"/>
          <w:bottom w:val="nil"/>
          <w:right w:val="nil"/>
          <w:between w:val="nil"/>
        </w:pBdr>
        <w:tabs>
          <w:tab w:val="left" w:pos="360"/>
          <w:tab w:val="left" w:pos="450"/>
          <w:tab w:val="left" w:pos="1938"/>
        </w:tabs>
        <w:spacing w:after="120" w:line="360" w:lineRule="auto"/>
        <w:jc w:val="both"/>
        <w:rPr>
          <w:rFonts w:ascii="Arial" w:hAnsi="Arial" w:cs="Arial"/>
          <w:color w:val="010000"/>
          <w:sz w:val="20"/>
          <w:szCs w:val="20"/>
        </w:rPr>
      </w:pPr>
      <w:r w:rsidRPr="007020AA">
        <w:rPr>
          <w:rFonts w:ascii="Arial" w:hAnsi="Arial" w:cs="Arial"/>
          <w:color w:val="010000"/>
          <w:sz w:val="20"/>
        </w:rPr>
        <w:t>Commercial service area: Number of buildings: 01, Construction area: 23,924</w:t>
      </w:r>
      <w:r w:rsidR="007B6C59">
        <w:rPr>
          <w:rFonts w:ascii="Arial" w:hAnsi="Arial" w:cs="Arial"/>
          <w:color w:val="010000"/>
          <w:sz w:val="20"/>
        </w:rPr>
        <w:t>sqm</w:t>
      </w:r>
      <w:r w:rsidRPr="007020AA">
        <w:rPr>
          <w:rFonts w:ascii="Arial" w:hAnsi="Arial" w:cs="Arial"/>
          <w:color w:val="010000"/>
          <w:sz w:val="20"/>
        </w:rPr>
        <w:t>, Construction floor area: 47,848.0</w:t>
      </w:r>
      <w:r w:rsidR="007B6C59">
        <w:rPr>
          <w:rFonts w:ascii="Arial" w:hAnsi="Arial" w:cs="Arial"/>
          <w:color w:val="010000"/>
          <w:sz w:val="20"/>
        </w:rPr>
        <w:t>sqm</w:t>
      </w:r>
      <w:r w:rsidRPr="007020AA">
        <w:rPr>
          <w:rFonts w:ascii="Arial" w:hAnsi="Arial" w:cs="Arial"/>
          <w:color w:val="010000"/>
          <w:sz w:val="20"/>
        </w:rPr>
        <w:t xml:space="preserve">, number of floors: 5, construction density: 40%, </w:t>
      </w:r>
      <w:r w:rsidR="007B6C59">
        <w:rPr>
          <w:rFonts w:ascii="Arial" w:hAnsi="Arial" w:cs="Arial"/>
          <w:color w:val="010000"/>
          <w:sz w:val="20"/>
        </w:rPr>
        <w:t>floor area ratio</w:t>
      </w:r>
      <w:r w:rsidRPr="007020AA">
        <w:rPr>
          <w:rFonts w:ascii="Arial" w:hAnsi="Arial" w:cs="Arial"/>
          <w:color w:val="010000"/>
          <w:sz w:val="20"/>
        </w:rPr>
        <w:t>: 2.0;</w:t>
      </w:r>
    </w:p>
    <w:p w14:paraId="165B29B3" w14:textId="015D0493" w:rsidR="00C8395E" w:rsidRPr="007020AA" w:rsidRDefault="004D6D03" w:rsidP="007B6C59">
      <w:pPr>
        <w:numPr>
          <w:ilvl w:val="0"/>
          <w:numId w:val="34"/>
        </w:numPr>
        <w:pBdr>
          <w:top w:val="nil"/>
          <w:left w:val="nil"/>
          <w:bottom w:val="nil"/>
          <w:right w:val="nil"/>
          <w:between w:val="nil"/>
        </w:pBdr>
        <w:tabs>
          <w:tab w:val="left" w:pos="360"/>
          <w:tab w:val="left" w:pos="450"/>
          <w:tab w:val="left" w:pos="1966"/>
        </w:tabs>
        <w:spacing w:after="120" w:line="360" w:lineRule="auto"/>
        <w:jc w:val="both"/>
        <w:rPr>
          <w:rFonts w:ascii="Arial" w:hAnsi="Arial" w:cs="Arial"/>
          <w:color w:val="010000"/>
          <w:sz w:val="20"/>
          <w:szCs w:val="20"/>
        </w:rPr>
      </w:pPr>
      <w:r w:rsidRPr="007020AA">
        <w:rPr>
          <w:rFonts w:ascii="Arial" w:hAnsi="Arial" w:cs="Arial"/>
          <w:color w:val="010000"/>
          <w:sz w:val="20"/>
        </w:rPr>
        <w:t>Public construction: Construction area: 29,918.0</w:t>
      </w:r>
      <w:r w:rsidR="007B6C59">
        <w:rPr>
          <w:rFonts w:ascii="Arial" w:hAnsi="Arial" w:cs="Arial"/>
          <w:color w:val="010000"/>
          <w:sz w:val="20"/>
        </w:rPr>
        <w:t>sqm</w:t>
      </w:r>
      <w:r w:rsidRPr="007020AA">
        <w:rPr>
          <w:rFonts w:ascii="Arial" w:hAnsi="Arial" w:cs="Arial"/>
          <w:color w:val="010000"/>
          <w:sz w:val="20"/>
        </w:rPr>
        <w:t>, inclu</w:t>
      </w:r>
      <w:bookmarkStart w:id="0" w:name="_GoBack"/>
      <w:bookmarkEnd w:id="0"/>
      <w:r w:rsidRPr="007020AA">
        <w:rPr>
          <w:rFonts w:ascii="Arial" w:hAnsi="Arial" w:cs="Arial"/>
          <w:color w:val="010000"/>
          <w:sz w:val="20"/>
        </w:rPr>
        <w:t>ding: Preschool 3 (Construction area: 3,644.2</w:t>
      </w:r>
      <w:r w:rsidR="007B6C59">
        <w:rPr>
          <w:rFonts w:ascii="Arial" w:hAnsi="Arial" w:cs="Arial"/>
          <w:color w:val="010000"/>
          <w:sz w:val="20"/>
        </w:rPr>
        <w:t>sqm</w:t>
      </w:r>
      <w:r w:rsidRPr="007020AA">
        <w:rPr>
          <w:rFonts w:ascii="Arial" w:hAnsi="Arial" w:cs="Arial"/>
          <w:color w:val="010000"/>
          <w:sz w:val="20"/>
        </w:rPr>
        <w:t>, Construction floor area: 2,915.2</w:t>
      </w:r>
      <w:r w:rsidR="007B6C59">
        <w:rPr>
          <w:rFonts w:ascii="Arial" w:hAnsi="Arial" w:cs="Arial"/>
          <w:color w:val="010000"/>
          <w:sz w:val="20"/>
        </w:rPr>
        <w:t>sqm</w:t>
      </w:r>
      <w:r w:rsidRPr="007020AA">
        <w:rPr>
          <w:rFonts w:ascii="Arial" w:hAnsi="Arial" w:cs="Arial"/>
          <w:color w:val="010000"/>
          <w:sz w:val="20"/>
        </w:rPr>
        <w:t xml:space="preserve">, number of floors: 2, construction density: 40%, </w:t>
      </w:r>
      <w:r w:rsidR="007B6C59">
        <w:rPr>
          <w:rFonts w:ascii="Arial" w:hAnsi="Arial" w:cs="Arial"/>
          <w:color w:val="010000"/>
          <w:sz w:val="20"/>
        </w:rPr>
        <w:t>floor area ratio</w:t>
      </w:r>
      <w:r w:rsidRPr="007020AA">
        <w:rPr>
          <w:rFonts w:ascii="Arial" w:hAnsi="Arial" w:cs="Arial"/>
          <w:color w:val="010000"/>
          <w:sz w:val="20"/>
        </w:rPr>
        <w:t>: 0.80 times), Primary school (Construction area: 13,587.0</w:t>
      </w:r>
      <w:r w:rsidR="007B6C59">
        <w:rPr>
          <w:rFonts w:ascii="Arial" w:hAnsi="Arial" w:cs="Arial"/>
          <w:color w:val="010000"/>
          <w:sz w:val="20"/>
        </w:rPr>
        <w:t>sqm</w:t>
      </w:r>
      <w:r w:rsidRPr="007020AA">
        <w:rPr>
          <w:rFonts w:ascii="Arial" w:hAnsi="Arial" w:cs="Arial"/>
          <w:color w:val="010000"/>
          <w:sz w:val="20"/>
        </w:rPr>
        <w:t xml:space="preserve">, Construction floor area: </w:t>
      </w:r>
      <w:r w:rsidRPr="007020AA">
        <w:rPr>
          <w:rFonts w:ascii="Arial" w:hAnsi="Arial" w:cs="Arial"/>
          <w:color w:val="010000"/>
          <w:sz w:val="20"/>
        </w:rPr>
        <w:lastRenderedPageBreak/>
        <w:t>10,869.6</w:t>
      </w:r>
      <w:r w:rsidR="007B6C59">
        <w:rPr>
          <w:rFonts w:ascii="Arial" w:hAnsi="Arial" w:cs="Arial"/>
          <w:color w:val="010000"/>
          <w:sz w:val="20"/>
        </w:rPr>
        <w:t>sqm</w:t>
      </w:r>
      <w:r w:rsidRPr="007020AA">
        <w:rPr>
          <w:rFonts w:ascii="Arial" w:hAnsi="Arial" w:cs="Arial"/>
          <w:color w:val="010000"/>
          <w:sz w:val="20"/>
        </w:rPr>
        <w:t xml:space="preserve">, number of floors: 2 floors, construction density 40%, </w:t>
      </w:r>
      <w:r w:rsidR="007B6C59">
        <w:rPr>
          <w:rFonts w:ascii="Arial" w:hAnsi="Arial" w:cs="Arial"/>
          <w:color w:val="010000"/>
          <w:sz w:val="20"/>
        </w:rPr>
        <w:t>floor area ratio</w:t>
      </w:r>
      <w:r w:rsidRPr="007020AA">
        <w:rPr>
          <w:rFonts w:ascii="Arial" w:hAnsi="Arial" w:cs="Arial"/>
          <w:color w:val="010000"/>
          <w:sz w:val="20"/>
        </w:rPr>
        <w:t>: 0.80), High school (Construction area: 12,687.0</w:t>
      </w:r>
      <w:r w:rsidR="007B6C59">
        <w:rPr>
          <w:rFonts w:ascii="Arial" w:hAnsi="Arial" w:cs="Arial"/>
          <w:color w:val="010000"/>
          <w:sz w:val="20"/>
        </w:rPr>
        <w:t>sqm</w:t>
      </w:r>
      <w:r w:rsidRPr="007020AA">
        <w:rPr>
          <w:rFonts w:ascii="Arial" w:hAnsi="Arial" w:cs="Arial"/>
          <w:color w:val="010000"/>
          <w:sz w:val="20"/>
        </w:rPr>
        <w:t>, Construction floor area: 15,224.4</w:t>
      </w:r>
      <w:r w:rsidR="007B6C59">
        <w:rPr>
          <w:rFonts w:ascii="Arial" w:hAnsi="Arial" w:cs="Arial"/>
          <w:color w:val="010000"/>
          <w:sz w:val="20"/>
        </w:rPr>
        <w:t>sqm</w:t>
      </w:r>
      <w:r w:rsidRPr="007020AA">
        <w:rPr>
          <w:rFonts w:ascii="Arial" w:hAnsi="Arial" w:cs="Arial"/>
          <w:color w:val="010000"/>
          <w:sz w:val="20"/>
        </w:rPr>
        <w:t xml:space="preserve">, number of floors: 3 floors, construction density: 40%, </w:t>
      </w:r>
      <w:r w:rsidR="007B6C59">
        <w:rPr>
          <w:rFonts w:ascii="Arial" w:hAnsi="Arial" w:cs="Arial"/>
          <w:color w:val="010000"/>
          <w:sz w:val="20"/>
        </w:rPr>
        <w:t>floor area ratio</w:t>
      </w:r>
      <w:r w:rsidRPr="007020AA">
        <w:rPr>
          <w:rFonts w:ascii="Arial" w:hAnsi="Arial" w:cs="Arial"/>
          <w:color w:val="010000"/>
          <w:sz w:val="20"/>
        </w:rPr>
        <w:t>: 1.2).</w:t>
      </w:r>
    </w:p>
    <w:p w14:paraId="425B8534" w14:textId="3E2E1F92" w:rsidR="00C8395E" w:rsidRPr="007020AA" w:rsidRDefault="004D6D03" w:rsidP="007B6C59">
      <w:pPr>
        <w:numPr>
          <w:ilvl w:val="0"/>
          <w:numId w:val="34"/>
        </w:numPr>
        <w:pBdr>
          <w:top w:val="nil"/>
          <w:left w:val="nil"/>
          <w:bottom w:val="nil"/>
          <w:right w:val="nil"/>
          <w:between w:val="nil"/>
        </w:pBdr>
        <w:tabs>
          <w:tab w:val="left" w:pos="360"/>
          <w:tab w:val="left" w:pos="450"/>
          <w:tab w:val="left" w:pos="1966"/>
        </w:tabs>
        <w:spacing w:after="120" w:line="360" w:lineRule="auto"/>
        <w:jc w:val="both"/>
        <w:rPr>
          <w:rFonts w:ascii="Arial" w:hAnsi="Arial" w:cs="Arial"/>
          <w:color w:val="010000"/>
          <w:sz w:val="20"/>
          <w:szCs w:val="20"/>
        </w:rPr>
      </w:pPr>
      <w:r w:rsidRPr="007020AA">
        <w:rPr>
          <w:rFonts w:ascii="Arial" w:hAnsi="Arial" w:cs="Arial"/>
          <w:color w:val="010000"/>
          <w:sz w:val="20"/>
        </w:rPr>
        <w:t>Other categories include: Land for trees. For sports and exercises: 32,005.0</w:t>
      </w:r>
      <w:r w:rsidR="007B6C59">
        <w:rPr>
          <w:rFonts w:ascii="Arial" w:hAnsi="Arial" w:cs="Arial"/>
          <w:color w:val="010000"/>
          <w:sz w:val="20"/>
        </w:rPr>
        <w:t>sqm</w:t>
      </w:r>
      <w:r w:rsidRPr="007020AA">
        <w:rPr>
          <w:rFonts w:ascii="Arial" w:hAnsi="Arial" w:cs="Arial"/>
          <w:color w:val="010000"/>
          <w:sz w:val="20"/>
        </w:rPr>
        <w:t>; Land for green trees and flower gardens: 36,901.0</w:t>
      </w:r>
      <w:r w:rsidR="007B6C59">
        <w:rPr>
          <w:rFonts w:ascii="Arial" w:hAnsi="Arial" w:cs="Arial"/>
          <w:color w:val="010000"/>
          <w:sz w:val="20"/>
        </w:rPr>
        <w:t>sqm</w:t>
      </w:r>
      <w:r w:rsidRPr="007020AA">
        <w:rPr>
          <w:rFonts w:ascii="Arial" w:hAnsi="Arial" w:cs="Arial"/>
          <w:color w:val="010000"/>
          <w:sz w:val="20"/>
        </w:rPr>
        <w:t>; Land for roads and technical hubs: 98,585.0</w:t>
      </w:r>
      <w:r w:rsidR="007B6C59">
        <w:rPr>
          <w:rFonts w:ascii="Arial" w:hAnsi="Arial" w:cs="Arial"/>
          <w:color w:val="010000"/>
          <w:sz w:val="20"/>
        </w:rPr>
        <w:t>sqm</w:t>
      </w:r>
      <w:r w:rsidRPr="007020AA">
        <w:rPr>
          <w:rFonts w:ascii="Arial" w:hAnsi="Arial" w:cs="Arial"/>
          <w:color w:val="010000"/>
          <w:sz w:val="20"/>
        </w:rPr>
        <w:t>.</w:t>
      </w:r>
    </w:p>
    <w:p w14:paraId="4C11F92D"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(According to the 1/500 scale detailed construction planning approved in Decisions No. 1101/QD-UBND dated May 9, 2011, No. 3156/QD-UBND dated December 20, 2018; No. 751/QD-UBND dated April 18, 2022; No. 1292/QD-UBND dated June 9, 2023; No. 1588/QD-UBND dated July 18, 2023).</w:t>
      </w:r>
    </w:p>
    <w:p w14:paraId="689112A7" w14:textId="77777777" w:rsidR="00C8395E" w:rsidRPr="007020AA" w:rsidRDefault="004D6D03" w:rsidP="007B6C59">
      <w:pPr>
        <w:numPr>
          <w:ilvl w:val="0"/>
          <w:numId w:val="18"/>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Population: about 8,640 people.</w:t>
      </w:r>
    </w:p>
    <w:p w14:paraId="208592AC" w14:textId="77777777" w:rsidR="00C8395E" w:rsidRPr="007020AA" w:rsidRDefault="004D6D03" w:rsidP="007B6C59">
      <w:pPr>
        <w:numPr>
          <w:ilvl w:val="1"/>
          <w:numId w:val="19"/>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Regarding adjusting Project investment capital</w:t>
      </w:r>
    </w:p>
    <w:p w14:paraId="3F588995"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The change in 1/500 detailed planning changing the construction scale of the project; At the same time, due to the change in construction time, the current construction unit price in Decision No. 610/QD-BXD in 2022 of the Ministry of Construction which has increased much more than the construction unit price in 2011, now adjusted to:</w:t>
      </w:r>
    </w:p>
    <w:p w14:paraId="42A2DC57" w14:textId="77777777" w:rsidR="00C8395E" w:rsidRPr="007020AA" w:rsidRDefault="004D6D03" w:rsidP="007B6C59">
      <w:pPr>
        <w:numPr>
          <w:ilvl w:val="0"/>
          <w:numId w:val="20"/>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Total investment VND 6,269.013 billion including VAT, including: Site clearance costs - resettlement, technical infrastructure investment costs, housing, commercial, public works, loan interest during construction period, working capital. In which:</w:t>
      </w:r>
    </w:p>
    <w:p w14:paraId="7CEBCCD2" w14:textId="77777777" w:rsidR="00C8395E" w:rsidRPr="007020AA" w:rsidRDefault="004D6D03" w:rsidP="007B6C59">
      <w:pPr>
        <w:numPr>
          <w:ilvl w:val="0"/>
          <w:numId w:val="21"/>
        </w:numPr>
        <w:pBdr>
          <w:top w:val="nil"/>
          <w:left w:val="nil"/>
          <w:bottom w:val="nil"/>
          <w:right w:val="nil"/>
          <w:between w:val="nil"/>
        </w:pBdr>
        <w:tabs>
          <w:tab w:val="left" w:pos="360"/>
          <w:tab w:val="left" w:pos="450"/>
          <w:tab w:val="left" w:pos="1601"/>
        </w:tabs>
        <w:spacing w:after="120" w:line="360" w:lineRule="auto"/>
        <w:jc w:val="both"/>
        <w:rPr>
          <w:rFonts w:ascii="Arial" w:hAnsi="Arial" w:cs="Arial"/>
          <w:color w:val="010000"/>
          <w:sz w:val="20"/>
          <w:szCs w:val="20"/>
        </w:rPr>
      </w:pPr>
      <w:r w:rsidRPr="007020AA">
        <w:rPr>
          <w:rFonts w:ascii="Arial" w:hAnsi="Arial" w:cs="Arial"/>
          <w:color w:val="010000"/>
          <w:sz w:val="20"/>
        </w:rPr>
        <w:t>Investor's capital contribution: VND 1,148.6 billion. Including: Capital contribution phase 1: VND 648.6 billion, capital contribution phase 2: VND 500.0 billion.</w:t>
      </w:r>
    </w:p>
    <w:p w14:paraId="7D1D7E9C" w14:textId="77777777" w:rsidR="00C8395E" w:rsidRPr="007020AA" w:rsidRDefault="004D6D03" w:rsidP="007B6C59">
      <w:pPr>
        <w:numPr>
          <w:ilvl w:val="0"/>
          <w:numId w:val="21"/>
        </w:numPr>
        <w:pBdr>
          <w:top w:val="nil"/>
          <w:left w:val="nil"/>
          <w:bottom w:val="nil"/>
          <w:right w:val="nil"/>
          <w:between w:val="nil"/>
        </w:pBdr>
        <w:tabs>
          <w:tab w:val="left" w:pos="360"/>
          <w:tab w:val="left" w:pos="450"/>
          <w:tab w:val="left" w:pos="1601"/>
        </w:tabs>
        <w:spacing w:after="120" w:line="360" w:lineRule="auto"/>
        <w:jc w:val="both"/>
        <w:rPr>
          <w:rFonts w:ascii="Arial" w:hAnsi="Arial" w:cs="Arial"/>
          <w:color w:val="010000"/>
          <w:sz w:val="20"/>
          <w:szCs w:val="20"/>
        </w:rPr>
      </w:pPr>
      <w:r w:rsidRPr="007020AA">
        <w:rPr>
          <w:rFonts w:ascii="Arial" w:hAnsi="Arial" w:cs="Arial"/>
          <w:color w:val="010000"/>
          <w:sz w:val="20"/>
        </w:rPr>
        <w:t>Mobilized contributed capital: VND 5,120.413 billion. Including: Phase 1 loan: VND 2,668.129 billion, phase 2 loan capital: VND 2,452.284 billion.</w:t>
      </w:r>
    </w:p>
    <w:p w14:paraId="6F8F1D48" w14:textId="77777777" w:rsidR="00C8395E" w:rsidRPr="007020AA" w:rsidRDefault="004D6D03" w:rsidP="007B6C59">
      <w:pPr>
        <w:numPr>
          <w:ilvl w:val="1"/>
          <w:numId w:val="22"/>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Regarding adjusting the project implementation progress</w:t>
      </w:r>
    </w:p>
    <w:p w14:paraId="606341AD" w14:textId="77777777" w:rsidR="00C8395E" w:rsidRPr="007020AA" w:rsidRDefault="004D6D03" w:rsidP="007B6C59">
      <w:pPr>
        <w:numPr>
          <w:ilvl w:val="0"/>
          <w:numId w:val="37"/>
        </w:numPr>
        <w:pBdr>
          <w:top w:val="nil"/>
          <w:left w:val="nil"/>
          <w:bottom w:val="nil"/>
          <w:right w:val="nil"/>
          <w:between w:val="nil"/>
        </w:pBdr>
        <w:tabs>
          <w:tab w:val="left" w:pos="360"/>
          <w:tab w:val="left" w:pos="450"/>
          <w:tab w:val="left" w:pos="1441"/>
        </w:tabs>
        <w:spacing w:after="120" w:line="360" w:lineRule="auto"/>
        <w:jc w:val="both"/>
        <w:rPr>
          <w:rFonts w:ascii="Arial" w:eastAsia="Arial" w:hAnsi="Arial" w:cs="Arial"/>
          <w:color w:val="010000"/>
          <w:sz w:val="20"/>
          <w:szCs w:val="20"/>
        </w:rPr>
      </w:pPr>
      <w:r w:rsidRPr="007020AA">
        <w:rPr>
          <w:rFonts w:ascii="Arial" w:hAnsi="Arial" w:cs="Arial"/>
          <w:color w:val="010000"/>
          <w:sz w:val="20"/>
        </w:rPr>
        <w:t>Progress of capital contribution and mobilization of capital sources:</w:t>
      </w:r>
    </w:p>
    <w:p w14:paraId="5ADB60B0" w14:textId="77777777" w:rsidR="00C8395E" w:rsidRPr="007020AA" w:rsidRDefault="004D6D03" w:rsidP="007B6C59">
      <w:pPr>
        <w:numPr>
          <w:ilvl w:val="0"/>
          <w:numId w:val="49"/>
        </w:numPr>
        <w:pBdr>
          <w:top w:val="nil"/>
          <w:left w:val="nil"/>
          <w:bottom w:val="nil"/>
          <w:right w:val="nil"/>
          <w:between w:val="nil"/>
        </w:pBdr>
        <w:tabs>
          <w:tab w:val="left" w:pos="360"/>
          <w:tab w:val="left" w:pos="450"/>
          <w:tab w:val="left" w:pos="1601"/>
        </w:tabs>
        <w:spacing w:after="120" w:line="360" w:lineRule="auto"/>
        <w:jc w:val="both"/>
        <w:rPr>
          <w:rFonts w:ascii="Arial" w:hAnsi="Arial" w:cs="Arial"/>
          <w:color w:val="010000"/>
          <w:sz w:val="20"/>
          <w:szCs w:val="20"/>
        </w:rPr>
      </w:pPr>
      <w:r w:rsidRPr="007020AA">
        <w:rPr>
          <w:rFonts w:ascii="Arial" w:hAnsi="Arial" w:cs="Arial"/>
          <w:color w:val="010000"/>
          <w:sz w:val="20"/>
        </w:rPr>
        <w:t>Investor's capital contribution: VND 1,148.6 billion. Including: Capital contribution phase 1: VND 648.6 billion, contributed VND 382 billion, continue to contribute VND 266.6 billion until Q2/2023. Contributed capital for phase 2: VND 500.0 billion, fully contributed until the end of Q4/2026.</w:t>
      </w:r>
    </w:p>
    <w:p w14:paraId="2D192DC9" w14:textId="77777777" w:rsidR="00C8395E" w:rsidRPr="007020AA" w:rsidRDefault="004D6D03" w:rsidP="007B6C59">
      <w:pPr>
        <w:numPr>
          <w:ilvl w:val="0"/>
          <w:numId w:val="49"/>
        </w:numPr>
        <w:pBdr>
          <w:top w:val="nil"/>
          <w:left w:val="nil"/>
          <w:bottom w:val="nil"/>
          <w:right w:val="nil"/>
          <w:between w:val="nil"/>
        </w:pBdr>
        <w:tabs>
          <w:tab w:val="left" w:pos="360"/>
          <w:tab w:val="left" w:pos="450"/>
          <w:tab w:val="left" w:pos="1601"/>
        </w:tabs>
        <w:spacing w:after="120" w:line="360" w:lineRule="auto"/>
        <w:jc w:val="both"/>
        <w:rPr>
          <w:rFonts w:ascii="Arial" w:hAnsi="Arial" w:cs="Arial"/>
          <w:color w:val="010000"/>
          <w:sz w:val="20"/>
          <w:szCs w:val="20"/>
        </w:rPr>
      </w:pPr>
      <w:r w:rsidRPr="007020AA">
        <w:rPr>
          <w:rFonts w:ascii="Arial" w:hAnsi="Arial" w:cs="Arial"/>
          <w:color w:val="010000"/>
          <w:sz w:val="20"/>
        </w:rPr>
        <w:t>Bank loans: VND 5,120.413 billion. Including: Phase 1 loan: VND 2,668,129 billion; loan term until the end of 2026. Phase 2 loan capital: VND 2,452,284 billion, loan period from Q2/2023 to Q4/2028.</w:t>
      </w:r>
    </w:p>
    <w:p w14:paraId="39FE366F" w14:textId="77777777" w:rsidR="00C8395E" w:rsidRPr="007020AA" w:rsidRDefault="004D6D03" w:rsidP="007B6C59">
      <w:pPr>
        <w:numPr>
          <w:ilvl w:val="0"/>
          <w:numId w:val="38"/>
        </w:numPr>
        <w:pBdr>
          <w:top w:val="nil"/>
          <w:left w:val="nil"/>
          <w:bottom w:val="nil"/>
          <w:right w:val="nil"/>
          <w:between w:val="nil"/>
        </w:pBdr>
        <w:tabs>
          <w:tab w:val="left" w:pos="360"/>
          <w:tab w:val="left" w:pos="450"/>
          <w:tab w:val="left" w:pos="1441"/>
        </w:tabs>
        <w:spacing w:after="120" w:line="360" w:lineRule="auto"/>
        <w:jc w:val="both"/>
        <w:rPr>
          <w:rFonts w:ascii="Arial" w:eastAsia="Arial" w:hAnsi="Arial" w:cs="Arial"/>
          <w:color w:val="010000"/>
          <w:sz w:val="20"/>
          <w:szCs w:val="20"/>
        </w:rPr>
      </w:pPr>
      <w:r w:rsidRPr="007020AA">
        <w:rPr>
          <w:rFonts w:ascii="Arial" w:hAnsi="Arial" w:cs="Arial"/>
          <w:color w:val="010000"/>
          <w:sz w:val="20"/>
        </w:rPr>
        <w:t>Capital construction progress and investment phasing</w:t>
      </w:r>
    </w:p>
    <w:p w14:paraId="687B25ED"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Divided into 2 stages, specifically as follows:</w:t>
      </w:r>
    </w:p>
    <w:p w14:paraId="576ADAA0" w14:textId="1C200DD4" w:rsidR="00C8395E" w:rsidRPr="007020AA" w:rsidRDefault="004D6D03" w:rsidP="007B6C59">
      <w:pPr>
        <w:numPr>
          <w:ilvl w:val="0"/>
          <w:numId w:val="36"/>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Phase 1 will be implemented on the area of: 275,159</w:t>
      </w:r>
      <w:r w:rsidR="007B6C59">
        <w:rPr>
          <w:rFonts w:ascii="Arial" w:hAnsi="Arial" w:cs="Arial"/>
          <w:color w:val="010000"/>
          <w:sz w:val="20"/>
        </w:rPr>
        <w:t>sqm</w:t>
      </w:r>
      <w:r w:rsidRPr="007020AA">
        <w:rPr>
          <w:rFonts w:ascii="Arial" w:hAnsi="Arial" w:cs="Arial"/>
          <w:color w:val="010000"/>
          <w:sz w:val="20"/>
        </w:rPr>
        <w:t>, implementation progress until Q1/2026.</w:t>
      </w:r>
    </w:p>
    <w:p w14:paraId="39520AAF" w14:textId="0A3B8E03" w:rsidR="00C8395E" w:rsidRPr="007020AA" w:rsidRDefault="004D6D03" w:rsidP="007B6C59">
      <w:pPr>
        <w:numPr>
          <w:ilvl w:val="0"/>
          <w:numId w:val="36"/>
        </w:numPr>
        <w:pBdr>
          <w:top w:val="nil"/>
          <w:left w:val="nil"/>
          <w:bottom w:val="nil"/>
          <w:right w:val="nil"/>
          <w:between w:val="nil"/>
        </w:pBdr>
        <w:tabs>
          <w:tab w:val="left" w:pos="360"/>
          <w:tab w:val="left" w:pos="450"/>
        </w:tabs>
        <w:spacing w:after="120" w:line="360" w:lineRule="auto"/>
        <w:ind w:left="0" w:firstLine="0"/>
        <w:jc w:val="both"/>
        <w:rPr>
          <w:rFonts w:ascii="Arial" w:hAnsi="Arial" w:cs="Arial"/>
          <w:color w:val="010000"/>
          <w:sz w:val="20"/>
          <w:szCs w:val="20"/>
        </w:rPr>
      </w:pPr>
      <w:r w:rsidRPr="007020AA">
        <w:rPr>
          <w:rFonts w:ascii="Arial" w:hAnsi="Arial" w:cs="Arial"/>
          <w:color w:val="010000"/>
          <w:sz w:val="20"/>
        </w:rPr>
        <w:t>Phase 2 will be implemented on the area of: 345,639</w:t>
      </w:r>
      <w:r w:rsidR="007B6C59">
        <w:rPr>
          <w:rFonts w:ascii="Arial" w:hAnsi="Arial" w:cs="Arial"/>
          <w:color w:val="010000"/>
          <w:sz w:val="20"/>
        </w:rPr>
        <w:t>sqm</w:t>
      </w:r>
      <w:r w:rsidRPr="007020AA">
        <w:rPr>
          <w:rFonts w:ascii="Arial" w:hAnsi="Arial" w:cs="Arial"/>
          <w:color w:val="010000"/>
          <w:sz w:val="20"/>
        </w:rPr>
        <w:t>, implementation progress until Q4/2028.</w:t>
      </w:r>
    </w:p>
    <w:p w14:paraId="1B70BE42" w14:textId="77777777" w:rsidR="00C8395E" w:rsidRPr="007020AA" w:rsidRDefault="004D6D03" w:rsidP="007B6C59">
      <w:pPr>
        <w:numPr>
          <w:ilvl w:val="1"/>
          <w:numId w:val="26"/>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Regarding supplementing the project's operating term: until September 29, 2060.</w:t>
      </w:r>
    </w:p>
    <w:p w14:paraId="4F3FA5EB" w14:textId="77777777" w:rsidR="00C8395E" w:rsidRPr="007020AA" w:rsidRDefault="004D6D03" w:rsidP="007B6C59">
      <w:pPr>
        <w:numPr>
          <w:ilvl w:val="0"/>
          <w:numId w:val="27"/>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Contents to collect opinions from shareholders regarding the Viet Duc Legend City Urban Area </w:t>
      </w:r>
      <w:r w:rsidRPr="007020AA">
        <w:rPr>
          <w:rFonts w:ascii="Arial" w:hAnsi="Arial" w:cs="Arial"/>
          <w:color w:val="010000"/>
          <w:sz w:val="20"/>
        </w:rPr>
        <w:lastRenderedPageBreak/>
        <w:t>Project</w:t>
      </w:r>
    </w:p>
    <w:p w14:paraId="57CD0E33"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As analyzed above, the Viet Duc Legend City Urban Area project is a project with relatively large total investment and scale. On the other hand, the project needs to invest in construction of works on land to synchronize the landscape and architecture according to the approved planning. Therefore, to proactively invest in the Project according to the approved plan, as well as create initiative in the implementation process, arrange capital sources as well as in implementing sales of the Project:</w:t>
      </w:r>
    </w:p>
    <w:p w14:paraId="70A68E98" w14:textId="01EE2C33"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Board of Directors respectfully submits to the </w:t>
      </w:r>
      <w:r w:rsidR="006054CD">
        <w:rPr>
          <w:rFonts w:ascii="Arial" w:hAnsi="Arial" w:cs="Arial"/>
          <w:color w:val="010000"/>
          <w:sz w:val="20"/>
        </w:rPr>
        <w:t>General Meeting</w:t>
      </w:r>
      <w:r w:rsidRPr="007020AA">
        <w:rPr>
          <w:rFonts w:ascii="Arial" w:hAnsi="Arial" w:cs="Arial"/>
          <w:color w:val="010000"/>
          <w:sz w:val="20"/>
        </w:rPr>
        <w:t xml:space="preserve"> for approval the following contents:</w:t>
      </w:r>
    </w:p>
    <w:p w14:paraId="40B955C7" w14:textId="40EEDDA2" w:rsidR="00C8395E" w:rsidRPr="007020AA" w:rsidRDefault="004D6D03" w:rsidP="007B6C59">
      <w:pPr>
        <w:numPr>
          <w:ilvl w:val="0"/>
          <w:numId w:val="28"/>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Approve adjustments to the Viet Duc Legend City Urban Area Project with the contents approved by the People's Committee of </w:t>
      </w:r>
      <w:proofErr w:type="spellStart"/>
      <w:r w:rsidRPr="007020AA">
        <w:rPr>
          <w:rFonts w:ascii="Arial" w:hAnsi="Arial" w:cs="Arial"/>
          <w:color w:val="010000"/>
          <w:sz w:val="20"/>
        </w:rPr>
        <w:t>Vinh</w:t>
      </w:r>
      <w:proofErr w:type="spellEnd"/>
      <w:r w:rsidRPr="007020AA">
        <w:rPr>
          <w:rFonts w:ascii="Arial" w:hAnsi="Arial" w:cs="Arial"/>
          <w:color w:val="010000"/>
          <w:sz w:val="20"/>
        </w:rPr>
        <w:t xml:space="preserve"> </w:t>
      </w:r>
      <w:proofErr w:type="spellStart"/>
      <w:r w:rsidRPr="007020AA">
        <w:rPr>
          <w:rFonts w:ascii="Arial" w:hAnsi="Arial" w:cs="Arial"/>
          <w:color w:val="010000"/>
          <w:sz w:val="20"/>
        </w:rPr>
        <w:t>Phuc</w:t>
      </w:r>
      <w:proofErr w:type="spellEnd"/>
      <w:r w:rsidRPr="007020AA">
        <w:rPr>
          <w:rFonts w:ascii="Arial" w:hAnsi="Arial" w:cs="Arial"/>
          <w:color w:val="010000"/>
          <w:sz w:val="20"/>
        </w:rPr>
        <w:t xml:space="preserve"> Province to adjust the investment policy and at the same time approve the investor in Decision No. 1177/QD-UBND dated May 31, 2023.</w:t>
      </w:r>
    </w:p>
    <w:p w14:paraId="211C972D" w14:textId="40D34597" w:rsidR="00C8395E" w:rsidRPr="007020AA" w:rsidRDefault="007020AA" w:rsidP="007B6C59">
      <w:pPr>
        <w:numPr>
          <w:ilvl w:val="0"/>
          <w:numId w:val="28"/>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Approve </w:t>
      </w:r>
      <w:r w:rsidR="004D6D03" w:rsidRPr="007020AA">
        <w:rPr>
          <w:rFonts w:ascii="Arial" w:hAnsi="Arial" w:cs="Arial"/>
          <w:color w:val="010000"/>
          <w:sz w:val="20"/>
        </w:rPr>
        <w:t>us</w:t>
      </w:r>
      <w:r w:rsidRPr="007020AA">
        <w:rPr>
          <w:rFonts w:ascii="Arial" w:hAnsi="Arial" w:cs="Arial"/>
          <w:color w:val="010000"/>
          <w:sz w:val="20"/>
        </w:rPr>
        <w:t>ing</w:t>
      </w:r>
      <w:r w:rsidR="004D6D03" w:rsidRPr="007020AA">
        <w:rPr>
          <w:rFonts w:ascii="Arial" w:hAnsi="Arial" w:cs="Arial"/>
          <w:color w:val="010000"/>
          <w:sz w:val="20"/>
        </w:rPr>
        <w:t xml:space="preserve"> existing owners' equity as of December 31, 2023 to contribute capital to invest in phase 1 and phase 2 of the Project and use Profit after tax from subsequent years from production and business activities and from product sales activities of Phase 1 of the Project to contribute investment capital to Phase 2 to ensure capital participation according to State regulations. In case the Company's profit is insufficient, agree to issue shares to existing shareholders or make a public offering to increase capital for the Company to contribute capital to the Project.</w:t>
      </w:r>
    </w:p>
    <w:p w14:paraId="60E051B1" w14:textId="5449D794" w:rsidR="00C8395E" w:rsidRPr="007020AA" w:rsidRDefault="004D6D03" w:rsidP="007B6C59">
      <w:pPr>
        <w:numPr>
          <w:ilvl w:val="0"/>
          <w:numId w:val="28"/>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For tasks, procedures and transactions in the investment preparation stages; organization of investment and construction projects; trading in products formed from the Project, the Board of Directors shall proactively </w:t>
      </w:r>
      <w:proofErr w:type="gramStart"/>
      <w:r w:rsidRPr="007020AA">
        <w:rPr>
          <w:rFonts w:ascii="Arial" w:hAnsi="Arial" w:cs="Arial"/>
          <w:color w:val="010000"/>
          <w:sz w:val="20"/>
        </w:rPr>
        <w:t>organizes</w:t>
      </w:r>
      <w:proofErr w:type="gramEnd"/>
      <w:r w:rsidRPr="007020AA">
        <w:rPr>
          <w:rFonts w:ascii="Arial" w:hAnsi="Arial" w:cs="Arial"/>
          <w:color w:val="010000"/>
          <w:sz w:val="20"/>
        </w:rPr>
        <w:t xml:space="preserve"> the implementation based on the Regulation on Decentralization of Investment in Real Estate Projects approved by the </w:t>
      </w:r>
      <w:r w:rsidR="006054CD">
        <w:rPr>
          <w:rFonts w:ascii="Arial" w:hAnsi="Arial" w:cs="Arial"/>
          <w:color w:val="010000"/>
          <w:sz w:val="20"/>
        </w:rPr>
        <w:t>General Meeting</w:t>
      </w:r>
      <w:r w:rsidRPr="007020AA">
        <w:rPr>
          <w:rFonts w:ascii="Arial" w:hAnsi="Arial" w:cs="Arial"/>
          <w:color w:val="010000"/>
          <w:sz w:val="20"/>
        </w:rPr>
        <w:t>.</w:t>
      </w:r>
    </w:p>
    <w:p w14:paraId="18AAE3EC" w14:textId="2A5ECA52" w:rsidR="00C8395E" w:rsidRPr="007020AA" w:rsidRDefault="004D6D03" w:rsidP="007B6C59">
      <w:pPr>
        <w:numPr>
          <w:ilvl w:val="1"/>
          <w:numId w:val="50"/>
        </w:numPr>
        <w:pBdr>
          <w:top w:val="nil"/>
          <w:left w:val="nil"/>
          <w:bottom w:val="nil"/>
          <w:right w:val="nil"/>
          <w:between w:val="nil"/>
        </w:pBdr>
        <w:tabs>
          <w:tab w:val="left" w:pos="360"/>
          <w:tab w:val="left" w:pos="450"/>
          <w:tab w:val="left" w:pos="888"/>
        </w:tabs>
        <w:spacing w:after="120" w:line="360" w:lineRule="auto"/>
        <w:jc w:val="both"/>
        <w:rPr>
          <w:rFonts w:ascii="Arial" w:hAnsi="Arial" w:cs="Arial"/>
          <w:color w:val="010000"/>
          <w:sz w:val="20"/>
          <w:szCs w:val="20"/>
        </w:rPr>
      </w:pPr>
      <w:r w:rsidRPr="007020AA">
        <w:rPr>
          <w:rFonts w:ascii="Arial" w:hAnsi="Arial" w:cs="Arial"/>
          <w:color w:val="010000"/>
          <w:sz w:val="20"/>
        </w:rPr>
        <w:t xml:space="preserve">Approve the Selection of an audit company for </w:t>
      </w:r>
      <w:r w:rsidR="006054CD">
        <w:rPr>
          <w:rFonts w:ascii="Arial" w:hAnsi="Arial" w:cs="Arial"/>
          <w:color w:val="010000"/>
          <w:sz w:val="20"/>
        </w:rPr>
        <w:t>the Financial Statements 2024, s</w:t>
      </w:r>
      <w:r w:rsidRPr="007020AA">
        <w:rPr>
          <w:rFonts w:ascii="Arial" w:hAnsi="Arial" w:cs="Arial"/>
          <w:color w:val="010000"/>
          <w:sz w:val="20"/>
        </w:rPr>
        <w:t>pecifically as follows:</w:t>
      </w:r>
    </w:p>
    <w:p w14:paraId="6EF6886F" w14:textId="44F861D8"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Supervisory Board respectfully submits to the Company's </w:t>
      </w:r>
      <w:r w:rsidR="006054CD">
        <w:rPr>
          <w:rFonts w:ascii="Arial" w:hAnsi="Arial" w:cs="Arial"/>
          <w:color w:val="010000"/>
          <w:sz w:val="20"/>
        </w:rPr>
        <w:t>General Meeting</w:t>
      </w:r>
      <w:r w:rsidRPr="007020AA">
        <w:rPr>
          <w:rFonts w:ascii="Arial" w:hAnsi="Arial" w:cs="Arial"/>
          <w:color w:val="010000"/>
          <w:sz w:val="20"/>
        </w:rPr>
        <w:t xml:space="preserve"> for approval of the selection of a company to audit the Financial Statements 2024, specifically as follows:</w:t>
      </w:r>
    </w:p>
    <w:p w14:paraId="02DCF0E8" w14:textId="77777777" w:rsidR="00C8395E" w:rsidRPr="007020AA" w:rsidRDefault="004D6D03" w:rsidP="007B6C59">
      <w:pPr>
        <w:numPr>
          <w:ilvl w:val="0"/>
          <w:numId w:val="29"/>
        </w:numPr>
        <w:pBdr>
          <w:top w:val="nil"/>
          <w:left w:val="nil"/>
          <w:bottom w:val="nil"/>
          <w:right w:val="nil"/>
          <w:between w:val="nil"/>
        </w:pBdr>
        <w:tabs>
          <w:tab w:val="left" w:pos="360"/>
          <w:tab w:val="left" w:pos="450"/>
          <w:tab w:val="left" w:pos="1066"/>
        </w:tabs>
        <w:spacing w:after="120" w:line="360" w:lineRule="auto"/>
        <w:jc w:val="both"/>
        <w:rPr>
          <w:rFonts w:ascii="Arial" w:eastAsia="Arial" w:hAnsi="Arial" w:cs="Arial"/>
          <w:color w:val="010000"/>
          <w:sz w:val="20"/>
          <w:szCs w:val="20"/>
        </w:rPr>
      </w:pPr>
      <w:r w:rsidRPr="007020AA">
        <w:rPr>
          <w:rFonts w:ascii="Arial" w:hAnsi="Arial" w:cs="Arial"/>
          <w:color w:val="010000"/>
          <w:sz w:val="20"/>
        </w:rPr>
        <w:t>Criteria and selection list</w:t>
      </w:r>
    </w:p>
    <w:p w14:paraId="71129B04" w14:textId="77777777" w:rsidR="00C8395E" w:rsidRPr="007020AA" w:rsidRDefault="004D6D03" w:rsidP="007B6C59">
      <w:pPr>
        <w:numPr>
          <w:ilvl w:val="0"/>
          <w:numId w:val="31"/>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Being one of the audit companies approved by the State Securities Commission to audit listed enterprises.</w:t>
      </w:r>
    </w:p>
    <w:p w14:paraId="71D1E522" w14:textId="77777777" w:rsidR="00C8395E" w:rsidRPr="007020AA" w:rsidRDefault="004D6D03" w:rsidP="007B6C59">
      <w:pPr>
        <w:numPr>
          <w:ilvl w:val="0"/>
          <w:numId w:val="31"/>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Being one of the leading audit companies, reputable for audit quality, with extensive experience auditing Financial Statements in the real estate and service sectors.</w:t>
      </w:r>
    </w:p>
    <w:p w14:paraId="1C5043DD" w14:textId="77777777" w:rsidR="00C8395E" w:rsidRPr="007020AA" w:rsidRDefault="004D6D03" w:rsidP="007B6C59">
      <w:pPr>
        <w:numPr>
          <w:ilvl w:val="0"/>
          <w:numId w:val="33"/>
        </w:numPr>
        <w:pBdr>
          <w:top w:val="nil"/>
          <w:left w:val="nil"/>
          <w:bottom w:val="nil"/>
          <w:right w:val="nil"/>
          <w:between w:val="nil"/>
        </w:pBdr>
        <w:tabs>
          <w:tab w:val="left" w:pos="360"/>
          <w:tab w:val="left" w:pos="450"/>
          <w:tab w:val="left" w:pos="1066"/>
        </w:tabs>
        <w:spacing w:after="120" w:line="360" w:lineRule="auto"/>
        <w:jc w:val="both"/>
        <w:rPr>
          <w:rFonts w:ascii="Arial" w:eastAsia="Arial" w:hAnsi="Arial" w:cs="Arial"/>
          <w:color w:val="010000"/>
          <w:sz w:val="20"/>
          <w:szCs w:val="20"/>
        </w:rPr>
      </w:pPr>
      <w:r w:rsidRPr="007020AA">
        <w:rPr>
          <w:rFonts w:ascii="Arial" w:hAnsi="Arial" w:cs="Arial"/>
          <w:color w:val="010000"/>
          <w:sz w:val="20"/>
        </w:rPr>
        <w:t>Proposal</w:t>
      </w:r>
    </w:p>
    <w:p w14:paraId="4E482829" w14:textId="13E2071E"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In 2023, the Supervisory Board selected AASC Auditing Firm Company Limited to be the auditor of the Financial Statements 2023. Therefore, after considering capacity, experience as well as suitability, the Supervisory Board considers that AASC Auditing Firm Company Limited is the most suitable for performing the audit of Financial Statements 2024. Therefore, the Supervisory Board respectfully submits to the Company's </w:t>
      </w:r>
      <w:r w:rsidR="006054CD">
        <w:rPr>
          <w:rFonts w:ascii="Arial" w:hAnsi="Arial" w:cs="Arial"/>
          <w:color w:val="010000"/>
          <w:sz w:val="20"/>
        </w:rPr>
        <w:t>General Meeting</w:t>
      </w:r>
      <w:r w:rsidRPr="007020AA">
        <w:rPr>
          <w:rFonts w:ascii="Arial" w:hAnsi="Arial" w:cs="Arial"/>
          <w:color w:val="010000"/>
          <w:sz w:val="20"/>
        </w:rPr>
        <w:t>:</w:t>
      </w:r>
    </w:p>
    <w:p w14:paraId="4139938C" w14:textId="77777777" w:rsidR="00C8395E" w:rsidRPr="007020AA" w:rsidRDefault="004D6D03" w:rsidP="007B6C59">
      <w:pPr>
        <w:numPr>
          <w:ilvl w:val="0"/>
          <w:numId w:val="3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Approve the selection of the auditor for the Financial Statements 2024 of Vietnam Germany Steel </w:t>
      </w:r>
      <w:r w:rsidRPr="007020AA">
        <w:rPr>
          <w:rFonts w:ascii="Arial" w:hAnsi="Arial" w:cs="Arial"/>
          <w:color w:val="010000"/>
          <w:sz w:val="20"/>
        </w:rPr>
        <w:lastRenderedPageBreak/>
        <w:t>Pipe JSC, which is AASC Auditing Firm Company Limited.</w:t>
      </w:r>
    </w:p>
    <w:p w14:paraId="58DE35DA" w14:textId="7EF7E7CF" w:rsidR="00C8395E" w:rsidRPr="007020AA" w:rsidRDefault="004D6D03" w:rsidP="007B6C59">
      <w:pPr>
        <w:numPr>
          <w:ilvl w:val="0"/>
          <w:numId w:val="35"/>
        </w:numPr>
        <w:pBdr>
          <w:top w:val="nil"/>
          <w:left w:val="nil"/>
          <w:bottom w:val="nil"/>
          <w:right w:val="nil"/>
          <w:between w:val="nil"/>
        </w:pBdr>
        <w:tabs>
          <w:tab w:val="left" w:pos="360"/>
          <w:tab w:val="left" w:pos="450"/>
        </w:tabs>
        <w:spacing w:after="120" w:line="360" w:lineRule="auto"/>
        <w:ind w:left="0" w:firstLine="0"/>
        <w:jc w:val="both"/>
        <w:rPr>
          <w:rFonts w:ascii="Arial" w:eastAsia="Arial" w:hAnsi="Arial" w:cs="Arial"/>
          <w:color w:val="010000"/>
          <w:sz w:val="20"/>
          <w:szCs w:val="20"/>
        </w:rPr>
      </w:pPr>
      <w:r w:rsidRPr="007020AA">
        <w:rPr>
          <w:rFonts w:ascii="Arial" w:hAnsi="Arial" w:cs="Arial"/>
          <w:color w:val="010000"/>
          <w:sz w:val="20"/>
        </w:rPr>
        <w:t xml:space="preserve">Authorize the Chair of the Board of Directors to choose the time, negotiate and sign an audit contract with an approved audit company </w:t>
      </w:r>
      <w:r w:rsidR="006054CD">
        <w:rPr>
          <w:rFonts w:ascii="Arial" w:hAnsi="Arial" w:cs="Arial"/>
          <w:color w:val="010000"/>
          <w:sz w:val="20"/>
        </w:rPr>
        <w:t>under</w:t>
      </w:r>
      <w:r w:rsidRPr="007020AA">
        <w:rPr>
          <w:rFonts w:ascii="Arial" w:hAnsi="Arial" w:cs="Arial"/>
          <w:color w:val="010000"/>
          <w:sz w:val="20"/>
        </w:rPr>
        <w:t xml:space="preserve"> the Company's Charter and </w:t>
      </w:r>
      <w:r w:rsidR="006054CD">
        <w:rPr>
          <w:rFonts w:ascii="Arial" w:hAnsi="Arial" w:cs="Arial"/>
          <w:color w:val="010000"/>
          <w:sz w:val="20"/>
        </w:rPr>
        <w:t>applicable laws</w:t>
      </w:r>
      <w:r w:rsidRPr="007020AA">
        <w:rPr>
          <w:rFonts w:ascii="Arial" w:hAnsi="Arial" w:cs="Arial"/>
          <w:color w:val="010000"/>
          <w:sz w:val="20"/>
        </w:rPr>
        <w:t>.</w:t>
      </w:r>
    </w:p>
    <w:p w14:paraId="5FC4DDC9" w14:textId="77777777" w:rsidR="00C8395E" w:rsidRPr="007020AA" w:rsidRDefault="004D6D03" w:rsidP="007B6C59">
      <w:pPr>
        <w:keepNext/>
        <w:numPr>
          <w:ilvl w:val="1"/>
          <w:numId w:val="50"/>
        </w:numPr>
        <w:pBdr>
          <w:top w:val="nil"/>
          <w:left w:val="nil"/>
          <w:bottom w:val="nil"/>
          <w:right w:val="nil"/>
          <w:between w:val="nil"/>
        </w:pBdr>
        <w:tabs>
          <w:tab w:val="left" w:pos="360"/>
          <w:tab w:val="left" w:pos="450"/>
          <w:tab w:val="left" w:pos="1022"/>
        </w:tabs>
        <w:spacing w:after="120" w:line="360" w:lineRule="auto"/>
        <w:jc w:val="both"/>
        <w:rPr>
          <w:rFonts w:ascii="Arial" w:hAnsi="Arial" w:cs="Arial"/>
          <w:color w:val="010000"/>
          <w:sz w:val="20"/>
          <w:szCs w:val="20"/>
        </w:rPr>
      </w:pPr>
      <w:r w:rsidRPr="007020AA">
        <w:rPr>
          <w:rFonts w:ascii="Arial" w:hAnsi="Arial" w:cs="Arial"/>
          <w:color w:val="010000"/>
          <w:sz w:val="20"/>
        </w:rPr>
        <w:t>Approve the General Mandate</w:t>
      </w:r>
    </w:p>
    <w:p w14:paraId="1E7D4FF3" w14:textId="7FCB7EAE"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The General Mandate consists of 11 pages and was approved by the Annual General Meeting 2024 Vietnam Germany Steel Pipe JSC, meeting on April 6, 2024.</w:t>
      </w:r>
    </w:p>
    <w:p w14:paraId="4870CE48"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This General Mandate takes effect from April 6, 2024. The Board of Directors of Vietnam Germany Steel Pipe JSC is responsible for organizing and leading the Company to implement the contents of the General Mandate.</w:t>
      </w:r>
    </w:p>
    <w:p w14:paraId="2AA6720E" w14:textId="13F6747D"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This General Mandate was sent to all shareholders of Vietnam Germany Steel Pipe JSC via the</w:t>
      </w:r>
      <w:r w:rsidR="007020AA" w:rsidRPr="007020AA">
        <w:rPr>
          <w:rFonts w:ascii="Arial" w:hAnsi="Arial" w:cs="Arial"/>
          <w:color w:val="010000"/>
          <w:sz w:val="20"/>
        </w:rPr>
        <w:t xml:space="preserve"> </w:t>
      </w:r>
      <w:r w:rsidRPr="007020AA">
        <w:rPr>
          <w:rFonts w:ascii="Arial" w:hAnsi="Arial" w:cs="Arial"/>
          <w:color w:val="010000"/>
          <w:sz w:val="20"/>
        </w:rPr>
        <w:t>Website: vgpipe.com.vn.</w:t>
      </w:r>
    </w:p>
    <w:p w14:paraId="4E724B04" w14:textId="77777777"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Article 2: Terms of enforcement</w:t>
      </w:r>
    </w:p>
    <w:p w14:paraId="11B4C0AE" w14:textId="37A7E37A"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 xml:space="preserve">The Board of Directors; </w:t>
      </w:r>
      <w:r w:rsidR="007B6C59">
        <w:rPr>
          <w:rFonts w:ascii="Arial" w:hAnsi="Arial" w:cs="Arial"/>
          <w:color w:val="010000"/>
          <w:sz w:val="20"/>
        </w:rPr>
        <w:t>Executive Board</w:t>
      </w:r>
      <w:r w:rsidRPr="007020AA">
        <w:rPr>
          <w:rFonts w:ascii="Arial" w:hAnsi="Arial" w:cs="Arial"/>
          <w:color w:val="010000"/>
          <w:sz w:val="20"/>
        </w:rPr>
        <w:t xml:space="preserve"> and relevant departments are responsible for implementing this General Mandate.</w:t>
      </w:r>
    </w:p>
    <w:p w14:paraId="5E50A016" w14:textId="718FF8ED" w:rsidR="00C8395E" w:rsidRPr="007020AA" w:rsidRDefault="004D6D03" w:rsidP="007B6C59">
      <w:pPr>
        <w:pBdr>
          <w:top w:val="nil"/>
          <w:left w:val="nil"/>
          <w:bottom w:val="nil"/>
          <w:right w:val="nil"/>
          <w:between w:val="nil"/>
        </w:pBdr>
        <w:tabs>
          <w:tab w:val="left" w:pos="360"/>
          <w:tab w:val="left" w:pos="450"/>
        </w:tabs>
        <w:spacing w:after="120" w:line="360" w:lineRule="auto"/>
        <w:jc w:val="both"/>
        <w:rPr>
          <w:rFonts w:ascii="Arial" w:eastAsia="Arial" w:hAnsi="Arial" w:cs="Arial"/>
          <w:color w:val="010000"/>
          <w:sz w:val="20"/>
          <w:szCs w:val="20"/>
        </w:rPr>
      </w:pPr>
      <w:r w:rsidRPr="007020AA">
        <w:rPr>
          <w:rFonts w:ascii="Arial" w:hAnsi="Arial" w:cs="Arial"/>
          <w:color w:val="010000"/>
          <w:sz w:val="20"/>
        </w:rPr>
        <w:t>This General Mandate takes effect from the date of its signing.</w:t>
      </w:r>
      <w:r w:rsidR="007020AA" w:rsidRPr="007020AA">
        <w:rPr>
          <w:rFonts w:ascii="Arial" w:hAnsi="Arial" w:cs="Arial"/>
          <w:color w:val="010000"/>
          <w:sz w:val="20"/>
        </w:rPr>
        <w:t>/.</w:t>
      </w:r>
    </w:p>
    <w:sectPr w:rsidR="00C8395E" w:rsidRPr="007020AA" w:rsidSect="000F632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434"/>
    <w:multiLevelType w:val="multilevel"/>
    <w:tmpl w:val="90988542"/>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ED7A60"/>
    <w:multiLevelType w:val="multilevel"/>
    <w:tmpl w:val="1A08EA6C"/>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D668F8"/>
    <w:multiLevelType w:val="multilevel"/>
    <w:tmpl w:val="D9369C9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5231CD"/>
    <w:multiLevelType w:val="multilevel"/>
    <w:tmpl w:val="9BE63E7A"/>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C9085D"/>
    <w:multiLevelType w:val="multilevel"/>
    <w:tmpl w:val="34204102"/>
    <w:lvl w:ilvl="0">
      <w:start w:val="1"/>
      <w:numFmt w:val="bullet"/>
      <w:lvlText w:val="&gt;"/>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60183C"/>
    <w:multiLevelType w:val="multilevel"/>
    <w:tmpl w:val="F4BC76BC"/>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6370233"/>
    <w:multiLevelType w:val="multilevel"/>
    <w:tmpl w:val="CA26C7B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228EB"/>
    <w:multiLevelType w:val="multilevel"/>
    <w:tmpl w:val="4672E00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
      <w:lvlJc w:val="left"/>
      <w:pPr>
        <w:ind w:left="1440" w:hanging="360"/>
      </w:pPr>
      <w:rPr>
        <w:rFonts w:ascii="Noto Sans Symbols" w:eastAsia="Noto Sans Symbols" w:hAnsi="Noto Sans Symbols" w:cs="Noto Sans Symbols"/>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8913EF"/>
    <w:multiLevelType w:val="multilevel"/>
    <w:tmpl w:val="162A8E1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373129"/>
    <w:multiLevelType w:val="multilevel"/>
    <w:tmpl w:val="204EC11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
      <w:lvlJc w:val="left"/>
      <w:pPr>
        <w:ind w:left="1440" w:hanging="360"/>
      </w:pPr>
      <w:rPr>
        <w:rFonts w:ascii="Noto Sans Symbols" w:eastAsia="Noto Sans Symbols" w:hAnsi="Noto Sans Symbols" w:cs="Noto Sans Symbols"/>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27064F"/>
    <w:multiLevelType w:val="multilevel"/>
    <w:tmpl w:val="F1E4813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
      <w:lvlJc w:val="left"/>
      <w:pPr>
        <w:ind w:left="1440" w:hanging="360"/>
      </w:pPr>
      <w:rPr>
        <w:rFonts w:ascii="Noto Sans Symbols" w:eastAsia="Noto Sans Symbols" w:hAnsi="Noto Sans Symbols" w:cs="Noto Sans Symbols"/>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3B2A85"/>
    <w:multiLevelType w:val="multilevel"/>
    <w:tmpl w:val="F732BD6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4E8157E"/>
    <w:multiLevelType w:val="multilevel"/>
    <w:tmpl w:val="DCCE5B8C"/>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F04D33"/>
    <w:multiLevelType w:val="multilevel"/>
    <w:tmpl w:val="96781A9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CE0500"/>
    <w:multiLevelType w:val="multilevel"/>
    <w:tmpl w:val="3294A0F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7"/>
      <w:numFmt w:val="bullet"/>
      <w:lvlText w:val="●"/>
      <w:lvlJc w:val="left"/>
      <w:pPr>
        <w:ind w:left="1440" w:hanging="360"/>
      </w:pPr>
      <w:rPr>
        <w:rFonts w:ascii="Noto Sans Symbols" w:eastAsia="Noto Sans Symbols" w:hAnsi="Noto Sans Symbols" w:cs="Noto Sans Symbols"/>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460CCD"/>
    <w:multiLevelType w:val="multilevel"/>
    <w:tmpl w:val="B2D2A24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BE7F88"/>
    <w:multiLevelType w:val="multilevel"/>
    <w:tmpl w:val="9BBADB22"/>
    <w:lvl w:ilvl="0">
      <w:start w:val="1"/>
      <w:numFmt w:val="bullet"/>
      <w:lvlText w:val="■"/>
      <w:lvlJc w:val="left"/>
      <w:pPr>
        <w:ind w:left="0" w:firstLine="0"/>
      </w:pPr>
      <w:rPr>
        <w:rFonts w:ascii="Arial" w:eastAsia="Arial" w:hAnsi="Arial" w:cs="Arial"/>
        <w:b w:val="0"/>
        <w:i w:val="0"/>
        <w:smallCaps w:val="0"/>
        <w:strike w:val="0"/>
        <w:color w:val="3B3B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83544A0"/>
    <w:multiLevelType w:val="multilevel"/>
    <w:tmpl w:val="BC080A6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C630A8"/>
    <w:multiLevelType w:val="multilevel"/>
    <w:tmpl w:val="065A1E8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475039"/>
    <w:multiLevelType w:val="multilevel"/>
    <w:tmpl w:val="E4423CA8"/>
    <w:lvl w:ilvl="0">
      <w:start w:val="1"/>
      <w:numFmt w:val="bullet"/>
      <w:lvlText w:val="&gt;"/>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216C04"/>
    <w:multiLevelType w:val="multilevel"/>
    <w:tmpl w:val="566852D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1CC09D7"/>
    <w:multiLevelType w:val="multilevel"/>
    <w:tmpl w:val="C392471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D460A9"/>
    <w:multiLevelType w:val="multilevel"/>
    <w:tmpl w:val="0BF285F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2E65290"/>
    <w:multiLevelType w:val="multilevel"/>
    <w:tmpl w:val="7B70F0F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2123D9"/>
    <w:multiLevelType w:val="multilevel"/>
    <w:tmpl w:val="60120C9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8457875"/>
    <w:multiLevelType w:val="multilevel"/>
    <w:tmpl w:val="A3E0597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EF7A62"/>
    <w:multiLevelType w:val="multilevel"/>
    <w:tmpl w:val="A3129ACA"/>
    <w:lvl w:ilvl="0">
      <w:start w:val="2"/>
      <w:numFmt w:val="decimal"/>
      <w:lvlText w:val="%1."/>
      <w:lvlJc w:val="left"/>
      <w:pPr>
        <w:ind w:left="0" w:firstLine="0"/>
      </w:pPr>
      <w:rPr>
        <w:rFonts w:ascii="Arial" w:eastAsia="Arial" w:hAnsi="Arial" w:cs="Arial"/>
        <w:b w:val="0"/>
        <w:i w:val="0"/>
        <w:sz w:val="20"/>
        <w:szCs w:val="20"/>
        <w:u w:val="none"/>
      </w:rPr>
    </w:lvl>
    <w:lvl w:ilvl="1">
      <w:start w:val="7"/>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BFE4B73"/>
    <w:multiLevelType w:val="multilevel"/>
    <w:tmpl w:val="7D688D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F711F65"/>
    <w:multiLevelType w:val="multilevel"/>
    <w:tmpl w:val="3F20343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F960EFE"/>
    <w:multiLevelType w:val="multilevel"/>
    <w:tmpl w:val="459E3E3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10E662A"/>
    <w:multiLevelType w:val="multilevel"/>
    <w:tmpl w:val="4DE4A108"/>
    <w:lvl w:ilvl="0">
      <w:start w:val="2"/>
      <w:numFmt w:val="decimal"/>
      <w:lvlText w:val="%1."/>
      <w:lvlJc w:val="left"/>
      <w:pPr>
        <w:ind w:left="0" w:firstLine="0"/>
      </w:pPr>
      <w:rPr>
        <w:rFonts w:ascii="Arial" w:eastAsia="Arial" w:hAnsi="Arial" w:cs="Arial"/>
        <w:b w:val="0"/>
        <w:i w:val="0"/>
        <w:sz w:val="20"/>
        <w:szCs w:val="20"/>
        <w:u w:val="none"/>
      </w:rPr>
    </w:lvl>
    <w:lvl w:ilvl="1">
      <w:start w:val="6"/>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4471247"/>
    <w:multiLevelType w:val="multilevel"/>
    <w:tmpl w:val="A2F6581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BD6057E"/>
    <w:multiLevelType w:val="multilevel"/>
    <w:tmpl w:val="D49631EE"/>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1AA35D4"/>
    <w:multiLevelType w:val="multilevel"/>
    <w:tmpl w:val="D58E3FC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
      <w:lvlJc w:val="left"/>
      <w:pPr>
        <w:ind w:left="1440" w:hanging="360"/>
      </w:pPr>
      <w:rPr>
        <w:rFonts w:ascii="Noto Sans Symbols" w:eastAsia="Noto Sans Symbols" w:hAnsi="Noto Sans Symbols" w:cs="Noto Sans Symbols"/>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D4713F"/>
    <w:multiLevelType w:val="multilevel"/>
    <w:tmpl w:val="5E30DC8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99D2433"/>
    <w:multiLevelType w:val="multilevel"/>
    <w:tmpl w:val="681EB08C"/>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607D0E"/>
    <w:multiLevelType w:val="multilevel"/>
    <w:tmpl w:val="8DC07A26"/>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29361C1"/>
    <w:multiLevelType w:val="multilevel"/>
    <w:tmpl w:val="FDDA5F1A"/>
    <w:lvl w:ilvl="0">
      <w:start w:val="2"/>
      <w:numFmt w:val="decimal"/>
      <w:lvlText w:val="%1."/>
      <w:lvlJc w:val="left"/>
      <w:pPr>
        <w:ind w:left="0" w:firstLine="0"/>
      </w:pPr>
      <w:rPr>
        <w:rFonts w:ascii="Arial" w:eastAsia="Arial" w:hAnsi="Arial" w:cs="Arial"/>
        <w:b w:val="0"/>
        <w:i w:val="0"/>
        <w:sz w:val="20"/>
        <w:szCs w:val="20"/>
        <w:u w:val="none"/>
      </w:rPr>
    </w:lvl>
    <w:lvl w:ilvl="1">
      <w:start w:val="9"/>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47F3804"/>
    <w:multiLevelType w:val="multilevel"/>
    <w:tmpl w:val="01FEAC6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5355F50"/>
    <w:multiLevelType w:val="multilevel"/>
    <w:tmpl w:val="EFC8585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8B4624"/>
    <w:multiLevelType w:val="multilevel"/>
    <w:tmpl w:val="2BF47FE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8123A52"/>
    <w:multiLevelType w:val="multilevel"/>
    <w:tmpl w:val="41CEE68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0D72C8"/>
    <w:multiLevelType w:val="multilevel"/>
    <w:tmpl w:val="543CEE04"/>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98E2E01"/>
    <w:multiLevelType w:val="multilevel"/>
    <w:tmpl w:val="4EF6AA9E"/>
    <w:lvl w:ilvl="0">
      <w:start w:val="1"/>
      <w:numFmt w:val="bullet"/>
      <w:lvlText w:val="-"/>
      <w:lvlJc w:val="left"/>
      <w:pPr>
        <w:ind w:left="0" w:firstLine="0"/>
      </w:pPr>
      <w:rPr>
        <w:rFonts w:ascii="Arial" w:eastAsia="Arial" w:hAnsi="Arial" w:cs="Arial"/>
        <w:b w:val="0"/>
        <w:i w:val="0"/>
        <w:smallCaps w:val="0"/>
        <w:strike w:val="0"/>
        <w:color w:val="3B3B3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C8158F3"/>
    <w:multiLevelType w:val="multilevel"/>
    <w:tmpl w:val="BB5EAB4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CFE1D93"/>
    <w:multiLevelType w:val="multilevel"/>
    <w:tmpl w:val="683C2EA0"/>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4A23BFB"/>
    <w:multiLevelType w:val="multilevel"/>
    <w:tmpl w:val="7426552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7E67AC4"/>
    <w:multiLevelType w:val="multilevel"/>
    <w:tmpl w:val="80B4E93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412826"/>
    <w:multiLevelType w:val="multilevel"/>
    <w:tmpl w:val="1D5A4C28"/>
    <w:lvl w:ilvl="0">
      <w:start w:val="1"/>
      <w:numFmt w:val="bullet"/>
      <w:lvlText w:val="o"/>
      <w:lvlJc w:val="left"/>
      <w:pPr>
        <w:ind w:left="720" w:hanging="360"/>
      </w:pPr>
      <w:rPr>
        <w:rFonts w:ascii="Courier New" w:eastAsia="Courier New" w:hAnsi="Courier New" w:cs="Courier New"/>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0F6B92"/>
    <w:multiLevelType w:val="multilevel"/>
    <w:tmpl w:val="5932411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365838"/>
    <w:multiLevelType w:val="multilevel"/>
    <w:tmpl w:val="37B8E60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EF13F42"/>
    <w:multiLevelType w:val="multilevel"/>
    <w:tmpl w:val="19C4CD82"/>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9"/>
  </w:num>
  <w:num w:numId="3">
    <w:abstractNumId w:val="23"/>
  </w:num>
  <w:num w:numId="4">
    <w:abstractNumId w:val="5"/>
  </w:num>
  <w:num w:numId="5">
    <w:abstractNumId w:val="30"/>
  </w:num>
  <w:num w:numId="6">
    <w:abstractNumId w:val="3"/>
  </w:num>
  <w:num w:numId="7">
    <w:abstractNumId w:val="11"/>
  </w:num>
  <w:num w:numId="8">
    <w:abstractNumId w:val="50"/>
  </w:num>
  <w:num w:numId="9">
    <w:abstractNumId w:val="26"/>
  </w:num>
  <w:num w:numId="10">
    <w:abstractNumId w:val="38"/>
  </w:num>
  <w:num w:numId="11">
    <w:abstractNumId w:val="1"/>
  </w:num>
  <w:num w:numId="12">
    <w:abstractNumId w:val="40"/>
  </w:num>
  <w:num w:numId="13">
    <w:abstractNumId w:val="28"/>
  </w:num>
  <w:num w:numId="14">
    <w:abstractNumId w:val="29"/>
  </w:num>
  <w:num w:numId="15">
    <w:abstractNumId w:val="6"/>
  </w:num>
  <w:num w:numId="16">
    <w:abstractNumId w:val="44"/>
  </w:num>
  <w:num w:numId="17">
    <w:abstractNumId w:val="41"/>
  </w:num>
  <w:num w:numId="18">
    <w:abstractNumId w:val="18"/>
  </w:num>
  <w:num w:numId="19">
    <w:abstractNumId w:val="33"/>
  </w:num>
  <w:num w:numId="20">
    <w:abstractNumId w:val="25"/>
  </w:num>
  <w:num w:numId="21">
    <w:abstractNumId w:val="20"/>
  </w:num>
  <w:num w:numId="22">
    <w:abstractNumId w:val="9"/>
  </w:num>
  <w:num w:numId="23">
    <w:abstractNumId w:val="7"/>
  </w:num>
  <w:num w:numId="24">
    <w:abstractNumId w:val="39"/>
  </w:num>
  <w:num w:numId="25">
    <w:abstractNumId w:val="46"/>
  </w:num>
  <w:num w:numId="26">
    <w:abstractNumId w:val="10"/>
  </w:num>
  <w:num w:numId="27">
    <w:abstractNumId w:val="34"/>
  </w:num>
  <w:num w:numId="28">
    <w:abstractNumId w:val="24"/>
  </w:num>
  <w:num w:numId="29">
    <w:abstractNumId w:val="32"/>
  </w:num>
  <w:num w:numId="30">
    <w:abstractNumId w:val="43"/>
  </w:num>
  <w:num w:numId="31">
    <w:abstractNumId w:val="49"/>
  </w:num>
  <w:num w:numId="32">
    <w:abstractNumId w:val="16"/>
  </w:num>
  <w:num w:numId="33">
    <w:abstractNumId w:val="17"/>
  </w:num>
  <w:num w:numId="34">
    <w:abstractNumId w:val="27"/>
  </w:num>
  <w:num w:numId="35">
    <w:abstractNumId w:val="21"/>
  </w:num>
  <w:num w:numId="36">
    <w:abstractNumId w:val="45"/>
  </w:num>
  <w:num w:numId="37">
    <w:abstractNumId w:val="31"/>
  </w:num>
  <w:num w:numId="38">
    <w:abstractNumId w:val="0"/>
  </w:num>
  <w:num w:numId="39">
    <w:abstractNumId w:val="42"/>
  </w:num>
  <w:num w:numId="40">
    <w:abstractNumId w:val="35"/>
  </w:num>
  <w:num w:numId="41">
    <w:abstractNumId w:val="47"/>
  </w:num>
  <w:num w:numId="42">
    <w:abstractNumId w:val="15"/>
  </w:num>
  <w:num w:numId="43">
    <w:abstractNumId w:val="14"/>
  </w:num>
  <w:num w:numId="44">
    <w:abstractNumId w:val="48"/>
  </w:num>
  <w:num w:numId="45">
    <w:abstractNumId w:val="2"/>
  </w:num>
  <w:num w:numId="46">
    <w:abstractNumId w:val="12"/>
  </w:num>
  <w:num w:numId="47">
    <w:abstractNumId w:val="8"/>
  </w:num>
  <w:num w:numId="48">
    <w:abstractNumId w:val="36"/>
  </w:num>
  <w:num w:numId="49">
    <w:abstractNumId w:val="22"/>
  </w:num>
  <w:num w:numId="50">
    <w:abstractNumId w:val="37"/>
  </w:num>
  <w:num w:numId="51">
    <w:abstractNumId w:val="51"/>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5E"/>
    <w:rsid w:val="000F632D"/>
    <w:rsid w:val="004D6D03"/>
    <w:rsid w:val="006054CD"/>
    <w:rsid w:val="007020AA"/>
    <w:rsid w:val="00785CC1"/>
    <w:rsid w:val="007B6C59"/>
    <w:rsid w:val="00C8395E"/>
    <w:rsid w:val="00D97E0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C75FF"/>
  <w15:docId w15:val="{8387B420-57A9-49A8-BC2F-402CFAA6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bCs/>
      <w:i w:val="0"/>
      <w:iCs w:val="0"/>
      <w:smallCaps w:val="0"/>
      <w:strike w:val="0"/>
      <w:sz w:val="17"/>
      <w:szCs w:val="17"/>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b/>
      <w:bCs/>
      <w:i w:val="0"/>
      <w:iCs w:val="0"/>
      <w:smallCaps w:val="0"/>
      <w:strike w:val="0"/>
      <w:sz w:val="20"/>
      <w:szCs w:val="20"/>
      <w:u w:val="none"/>
    </w:rPr>
  </w:style>
  <w:style w:type="character" w:customStyle="1" w:styleId="Heading10">
    <w:name w:val="Heading #1_"/>
    <w:basedOn w:val="DefaultParagraphFont"/>
    <w:link w:val="Heading11"/>
    <w:rPr>
      <w:rFonts w:ascii="Arial" w:eastAsia="Arial" w:hAnsi="Arial" w:cs="Arial"/>
      <w:b/>
      <w:bCs/>
      <w:i w:val="0"/>
      <w:iCs w:val="0"/>
      <w:smallCaps w:val="0"/>
      <w:strike w:val="0"/>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E94C57"/>
      <w:sz w:val="9"/>
      <w:szCs w:val="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C1014"/>
      <w:sz w:val="14"/>
      <w:szCs w:val="14"/>
      <w:u w:val="none"/>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20"/>
      <w:szCs w:val="20"/>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32"/>
      <w:szCs w:val="32"/>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94C57"/>
      <w:sz w:val="15"/>
      <w:szCs w:val="15"/>
      <w:u w:val="none"/>
    </w:rPr>
  </w:style>
  <w:style w:type="paragraph" w:customStyle="1" w:styleId="Bodytext30">
    <w:name w:val="Body text (3)"/>
    <w:basedOn w:val="Normal"/>
    <w:link w:val="Bodytext3"/>
    <w:pPr>
      <w:jc w:val="center"/>
    </w:pPr>
    <w:rPr>
      <w:rFonts w:ascii="Arial" w:eastAsia="Arial" w:hAnsi="Arial" w:cs="Arial"/>
      <w:b/>
      <w:bCs/>
      <w:sz w:val="17"/>
      <w:szCs w:val="17"/>
    </w:rPr>
  </w:style>
  <w:style w:type="paragraph" w:styleId="BodyText">
    <w:name w:val="Body Text"/>
    <w:basedOn w:val="Normal"/>
    <w:link w:val="BodyTextChar"/>
    <w:qFormat/>
    <w:pPr>
      <w:spacing w:line="319" w:lineRule="auto"/>
    </w:pPr>
    <w:rPr>
      <w:rFonts w:ascii="Arial" w:eastAsia="Arial" w:hAnsi="Arial" w:cs="Arial"/>
      <w:sz w:val="20"/>
      <w:szCs w:val="20"/>
    </w:rPr>
  </w:style>
  <w:style w:type="paragraph" w:customStyle="1" w:styleId="Heading21">
    <w:name w:val="Heading #2"/>
    <w:basedOn w:val="Normal"/>
    <w:link w:val="Heading20"/>
    <w:pPr>
      <w:spacing w:line="322" w:lineRule="auto"/>
      <w:ind w:left="980" w:hanging="310"/>
      <w:outlineLvl w:val="1"/>
    </w:pPr>
    <w:rPr>
      <w:rFonts w:ascii="Arial" w:eastAsia="Arial" w:hAnsi="Arial" w:cs="Arial"/>
      <w:b/>
      <w:bCs/>
      <w:sz w:val="20"/>
      <w:szCs w:val="20"/>
    </w:rPr>
  </w:style>
  <w:style w:type="paragraph" w:customStyle="1" w:styleId="Heading11">
    <w:name w:val="Heading #1"/>
    <w:basedOn w:val="Normal"/>
    <w:link w:val="Heading10"/>
    <w:pPr>
      <w:spacing w:line="266" w:lineRule="auto"/>
      <w:ind w:left="5300"/>
      <w:outlineLvl w:val="0"/>
    </w:pPr>
    <w:rPr>
      <w:rFonts w:ascii="Arial" w:eastAsia="Arial" w:hAnsi="Arial" w:cs="Arial"/>
      <w:b/>
      <w:bCs/>
    </w:rPr>
  </w:style>
  <w:style w:type="paragraph" w:customStyle="1" w:styleId="Other0">
    <w:name w:val="Other"/>
    <w:basedOn w:val="Normal"/>
    <w:link w:val="Other"/>
    <w:pPr>
      <w:spacing w:line="319" w:lineRule="auto"/>
    </w:pPr>
    <w:rPr>
      <w:rFonts w:ascii="Arial" w:eastAsia="Arial" w:hAnsi="Arial" w:cs="Arial"/>
      <w:sz w:val="20"/>
      <w:szCs w:val="20"/>
    </w:rPr>
  </w:style>
  <w:style w:type="paragraph" w:customStyle="1" w:styleId="Bodytext50">
    <w:name w:val="Body text (5)"/>
    <w:basedOn w:val="Normal"/>
    <w:link w:val="Bodytext5"/>
    <w:rPr>
      <w:rFonts w:ascii="Times New Roman" w:eastAsia="Times New Roman" w:hAnsi="Times New Roman" w:cs="Times New Roman"/>
      <w:color w:val="E94C57"/>
      <w:sz w:val="9"/>
      <w:szCs w:val="9"/>
    </w:rPr>
  </w:style>
  <w:style w:type="paragraph" w:customStyle="1" w:styleId="Bodytext20">
    <w:name w:val="Body text (2)"/>
    <w:basedOn w:val="Normal"/>
    <w:link w:val="Bodytext2"/>
    <w:pPr>
      <w:spacing w:line="226" w:lineRule="auto"/>
    </w:pPr>
    <w:rPr>
      <w:rFonts w:ascii="Times New Roman" w:eastAsia="Times New Roman" w:hAnsi="Times New Roman" w:cs="Times New Roman"/>
      <w:color w:val="FC1014"/>
      <w:sz w:val="14"/>
      <w:szCs w:val="14"/>
    </w:rPr>
  </w:style>
  <w:style w:type="paragraph" w:customStyle="1" w:styleId="Tablecaption0">
    <w:name w:val="Table caption"/>
    <w:basedOn w:val="Normal"/>
    <w:link w:val="Tablecaption"/>
    <w:rPr>
      <w:rFonts w:ascii="Arial" w:eastAsia="Arial" w:hAnsi="Arial" w:cs="Arial"/>
      <w:b/>
      <w:bCs/>
      <w:sz w:val="20"/>
      <w:szCs w:val="20"/>
    </w:rPr>
  </w:style>
  <w:style w:type="paragraph" w:customStyle="1" w:styleId="Bodytext60">
    <w:name w:val="Body text (6)"/>
    <w:basedOn w:val="Normal"/>
    <w:link w:val="Bodytext6"/>
    <w:rPr>
      <w:rFonts w:ascii="Arial" w:eastAsia="Arial" w:hAnsi="Arial" w:cs="Arial"/>
      <w:sz w:val="32"/>
      <w:szCs w:val="32"/>
    </w:rPr>
  </w:style>
  <w:style w:type="paragraph" w:customStyle="1" w:styleId="Bodytext40">
    <w:name w:val="Body text (4)"/>
    <w:basedOn w:val="Normal"/>
    <w:link w:val="Bodytext4"/>
    <w:pPr>
      <w:spacing w:line="293" w:lineRule="auto"/>
    </w:pPr>
    <w:rPr>
      <w:rFonts w:ascii="Arial" w:eastAsia="Arial" w:hAnsi="Arial" w:cs="Arial"/>
      <w:color w:val="E94C57"/>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pOHBdzs4Y/u8MRk1f5tY9nc4A==">CgMxLjA4AHIhMVUxWmhGY3NfZHdKQlJpUnU2MG9Sb1RQeTVVMUM4WHds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4</cp:revision>
  <dcterms:created xsi:type="dcterms:W3CDTF">2024-04-15T03:34:00Z</dcterms:created>
  <dcterms:modified xsi:type="dcterms:W3CDTF">2024-04-15T03:35:00Z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d79c86e36fd06fb4f3d7dda7eb26876a7c133f17c7c4ad1362e7fd7ba92f9236</vt:lpwstr>
  </property>
</Properties>
</file>