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73470" w:rsidRPr="0037742E" w:rsidRDefault="002171ED" w:rsidP="004A209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7742E">
        <w:rPr>
          <w:rFonts w:ascii="Arial" w:hAnsi="Arial"/>
          <w:b/>
          <w:color w:val="010000"/>
          <w:sz w:val="20"/>
        </w:rPr>
        <w:t>BTN: Board Resolution</w:t>
      </w:r>
    </w:p>
    <w:p w14:paraId="00000002" w14:textId="77777777" w:rsidR="00673470" w:rsidRPr="0037742E" w:rsidRDefault="002171ED" w:rsidP="004A209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742E">
        <w:rPr>
          <w:rFonts w:ascii="Arial" w:hAnsi="Arial"/>
          <w:color w:val="010000"/>
          <w:sz w:val="20"/>
        </w:rPr>
        <w:t xml:space="preserve">On April 11, 2024, </w:t>
      </w:r>
      <w:proofErr w:type="spellStart"/>
      <w:r w:rsidRPr="0037742E">
        <w:rPr>
          <w:rFonts w:ascii="Arial" w:hAnsi="Arial"/>
          <w:color w:val="010000"/>
          <w:sz w:val="20"/>
        </w:rPr>
        <w:t>Binh</w:t>
      </w:r>
      <w:proofErr w:type="spellEnd"/>
      <w:r w:rsidRPr="0037742E">
        <w:rPr>
          <w:rFonts w:ascii="Arial" w:hAnsi="Arial"/>
          <w:color w:val="010000"/>
          <w:sz w:val="20"/>
        </w:rPr>
        <w:t xml:space="preserve"> </w:t>
      </w:r>
      <w:proofErr w:type="spellStart"/>
      <w:r w:rsidRPr="0037742E">
        <w:rPr>
          <w:rFonts w:ascii="Arial" w:hAnsi="Arial"/>
          <w:color w:val="010000"/>
          <w:sz w:val="20"/>
        </w:rPr>
        <w:t>Dinh</w:t>
      </w:r>
      <w:proofErr w:type="spellEnd"/>
      <w:r w:rsidRPr="0037742E">
        <w:rPr>
          <w:rFonts w:ascii="Arial" w:hAnsi="Arial"/>
          <w:color w:val="010000"/>
          <w:sz w:val="20"/>
        </w:rPr>
        <w:t xml:space="preserve"> </w:t>
      </w:r>
      <w:proofErr w:type="spellStart"/>
      <w:r w:rsidRPr="0037742E">
        <w:rPr>
          <w:rFonts w:ascii="Arial" w:hAnsi="Arial"/>
          <w:color w:val="010000"/>
          <w:sz w:val="20"/>
        </w:rPr>
        <w:t>Bitco</w:t>
      </w:r>
      <w:proofErr w:type="spellEnd"/>
      <w:r w:rsidRPr="0037742E">
        <w:rPr>
          <w:rFonts w:ascii="Arial" w:hAnsi="Arial"/>
          <w:color w:val="010000"/>
          <w:sz w:val="20"/>
        </w:rPr>
        <w:t xml:space="preserve"> Investment Joint Stock Company announced Resolution No. 309/2024/NQ-HDQT as follows: </w:t>
      </w:r>
    </w:p>
    <w:p w14:paraId="00000003" w14:textId="546DE89E" w:rsidR="00673470" w:rsidRPr="0037742E" w:rsidRDefault="002171ED" w:rsidP="004A209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742E">
        <w:rPr>
          <w:rFonts w:ascii="Arial" w:hAnsi="Arial"/>
          <w:color w:val="010000"/>
          <w:sz w:val="20"/>
        </w:rPr>
        <w:t xml:space="preserve">Article 1. The Board of Directors </w:t>
      </w:r>
      <w:r w:rsidR="008F6535" w:rsidRPr="0037742E">
        <w:rPr>
          <w:rFonts w:ascii="Arial" w:hAnsi="Arial"/>
          <w:color w:val="010000"/>
          <w:sz w:val="20"/>
        </w:rPr>
        <w:t>approves</w:t>
      </w:r>
      <w:r w:rsidRPr="0037742E">
        <w:rPr>
          <w:rFonts w:ascii="Arial" w:hAnsi="Arial"/>
          <w:color w:val="010000"/>
          <w:sz w:val="20"/>
        </w:rPr>
        <w:t xml:space="preserve"> </w:t>
      </w:r>
      <w:r w:rsidRPr="0037742E">
        <w:rPr>
          <w:rFonts w:ascii="Arial" w:hAnsi="Arial"/>
          <w:color w:val="010000"/>
          <w:sz w:val="20"/>
        </w:rPr>
        <w:t>chang</w:t>
      </w:r>
      <w:r w:rsidR="008F6535" w:rsidRPr="0037742E">
        <w:rPr>
          <w:rFonts w:ascii="Arial" w:hAnsi="Arial"/>
          <w:color w:val="010000"/>
          <w:sz w:val="20"/>
        </w:rPr>
        <w:t>ing</w:t>
      </w:r>
      <w:r w:rsidRPr="0037742E">
        <w:rPr>
          <w:rFonts w:ascii="Arial" w:hAnsi="Arial"/>
          <w:color w:val="010000"/>
          <w:sz w:val="20"/>
        </w:rPr>
        <w:t xml:space="preserve"> the convening date of the Annual General Meeting of Shareholders 2024 (replacing Resolution No. 300/2024/NQ-HDQT dated April </w:t>
      </w:r>
      <w:r w:rsidR="008F6535" w:rsidRPr="0037742E">
        <w:rPr>
          <w:rFonts w:ascii="Arial" w:hAnsi="Arial"/>
          <w:color w:val="010000"/>
          <w:sz w:val="20"/>
        </w:rPr>
        <w:t>0</w:t>
      </w:r>
      <w:r w:rsidRPr="0037742E">
        <w:rPr>
          <w:rFonts w:ascii="Arial" w:hAnsi="Arial"/>
          <w:color w:val="010000"/>
          <w:sz w:val="20"/>
        </w:rPr>
        <w:t xml:space="preserve">6, 2024) of </w:t>
      </w:r>
      <w:proofErr w:type="spellStart"/>
      <w:r w:rsidRPr="0037742E">
        <w:rPr>
          <w:rFonts w:ascii="Arial" w:hAnsi="Arial"/>
          <w:color w:val="010000"/>
          <w:sz w:val="20"/>
        </w:rPr>
        <w:t>Binh</w:t>
      </w:r>
      <w:proofErr w:type="spellEnd"/>
      <w:r w:rsidRPr="0037742E">
        <w:rPr>
          <w:rFonts w:ascii="Arial" w:hAnsi="Arial"/>
          <w:color w:val="010000"/>
          <w:sz w:val="20"/>
        </w:rPr>
        <w:t xml:space="preserve"> </w:t>
      </w:r>
      <w:proofErr w:type="spellStart"/>
      <w:r w:rsidRPr="0037742E">
        <w:rPr>
          <w:rFonts w:ascii="Arial" w:hAnsi="Arial"/>
          <w:color w:val="010000"/>
          <w:sz w:val="20"/>
        </w:rPr>
        <w:t>Dinh</w:t>
      </w:r>
      <w:proofErr w:type="spellEnd"/>
      <w:r w:rsidRPr="0037742E">
        <w:rPr>
          <w:rFonts w:ascii="Arial" w:hAnsi="Arial"/>
          <w:color w:val="010000"/>
          <w:sz w:val="20"/>
        </w:rPr>
        <w:t xml:space="preserve"> </w:t>
      </w:r>
      <w:proofErr w:type="spellStart"/>
      <w:r w:rsidRPr="0037742E">
        <w:rPr>
          <w:rFonts w:ascii="Arial" w:hAnsi="Arial"/>
          <w:color w:val="010000"/>
          <w:sz w:val="20"/>
        </w:rPr>
        <w:t>Bitco</w:t>
      </w:r>
      <w:proofErr w:type="spellEnd"/>
      <w:r w:rsidRPr="0037742E">
        <w:rPr>
          <w:rFonts w:ascii="Arial" w:hAnsi="Arial"/>
          <w:color w:val="010000"/>
          <w:sz w:val="20"/>
        </w:rPr>
        <w:t xml:space="preserve"> Investment Joint Stock Company, specifically as follows:</w:t>
      </w:r>
    </w:p>
    <w:p w14:paraId="00000004" w14:textId="67DB91D1" w:rsidR="00673470" w:rsidRPr="0037742E" w:rsidRDefault="008F6535" w:rsidP="004A20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742E">
        <w:rPr>
          <w:rFonts w:ascii="Arial" w:hAnsi="Arial"/>
          <w:color w:val="010000"/>
          <w:sz w:val="20"/>
        </w:rPr>
        <w:t>Record date to exercise the rights to attend the Annual General Meeting of Shareholders 2024: May 06, 2024.</w:t>
      </w:r>
    </w:p>
    <w:p w14:paraId="00000005" w14:textId="1FD7DBE4" w:rsidR="00673470" w:rsidRPr="0037742E" w:rsidRDefault="008F6535" w:rsidP="004A20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742E">
        <w:rPr>
          <w:rFonts w:ascii="Arial" w:hAnsi="Arial"/>
          <w:color w:val="010000"/>
          <w:sz w:val="20"/>
        </w:rPr>
        <w:t>Organization date of the Annual General Meeting of Shareholders 2024 (expected): will be announced later.</w:t>
      </w:r>
    </w:p>
    <w:p w14:paraId="00000006" w14:textId="371B7BEA" w:rsidR="00673470" w:rsidRPr="0037742E" w:rsidRDefault="002171ED" w:rsidP="004A20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37742E">
        <w:rPr>
          <w:rFonts w:ascii="Arial" w:hAnsi="Arial"/>
          <w:color w:val="010000"/>
          <w:sz w:val="20"/>
        </w:rPr>
        <w:t>Organization venue: will be announced to shareholders in the invitation letter to atte</w:t>
      </w:r>
      <w:r w:rsidRPr="0037742E">
        <w:rPr>
          <w:rFonts w:ascii="Arial" w:hAnsi="Arial"/>
          <w:color w:val="010000"/>
          <w:sz w:val="20"/>
        </w:rPr>
        <w:t>nd the meeting.</w:t>
      </w:r>
    </w:p>
    <w:p w14:paraId="00000007" w14:textId="757ADC9F" w:rsidR="00673470" w:rsidRPr="0037742E" w:rsidRDefault="002171ED" w:rsidP="004A209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742E">
        <w:rPr>
          <w:rFonts w:ascii="Arial" w:hAnsi="Arial"/>
          <w:color w:val="010000"/>
          <w:sz w:val="20"/>
        </w:rPr>
        <w:t xml:space="preserve">Article 2. Approve the contents </w:t>
      </w:r>
      <w:r w:rsidR="008F6535" w:rsidRPr="0037742E">
        <w:rPr>
          <w:rFonts w:ascii="Arial" w:hAnsi="Arial"/>
          <w:color w:val="010000"/>
          <w:sz w:val="20"/>
        </w:rPr>
        <w:t xml:space="preserve">expected to be </w:t>
      </w:r>
      <w:r w:rsidRPr="0037742E">
        <w:rPr>
          <w:rFonts w:ascii="Arial" w:hAnsi="Arial"/>
          <w:color w:val="010000"/>
          <w:sz w:val="20"/>
        </w:rPr>
        <w:t>submitted to the Annual General Meeting of Shareholders 2024.</w:t>
      </w:r>
    </w:p>
    <w:p w14:paraId="00000008" w14:textId="5C7E443B" w:rsidR="00673470" w:rsidRPr="0037742E" w:rsidRDefault="002171ED" w:rsidP="004A20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742E">
        <w:rPr>
          <w:rFonts w:ascii="Arial" w:hAnsi="Arial"/>
          <w:color w:val="010000"/>
          <w:sz w:val="20"/>
        </w:rPr>
        <w:t>Report on the production and business activities in 2023 and the production and business plan for 2024</w:t>
      </w:r>
      <w:r w:rsidR="008F6535" w:rsidRPr="0037742E">
        <w:rPr>
          <w:rFonts w:ascii="Arial" w:hAnsi="Arial"/>
          <w:color w:val="010000"/>
          <w:sz w:val="20"/>
        </w:rPr>
        <w:t>;</w:t>
      </w:r>
    </w:p>
    <w:p w14:paraId="00000009" w14:textId="056EAD16" w:rsidR="00673470" w:rsidRPr="0037742E" w:rsidRDefault="002171ED" w:rsidP="004A20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742E">
        <w:rPr>
          <w:rFonts w:ascii="Arial" w:hAnsi="Arial"/>
          <w:color w:val="010000"/>
          <w:sz w:val="20"/>
        </w:rPr>
        <w:t>Report on activities of the</w:t>
      </w:r>
      <w:r w:rsidRPr="0037742E">
        <w:rPr>
          <w:rFonts w:ascii="Arial" w:hAnsi="Arial"/>
          <w:color w:val="010000"/>
          <w:sz w:val="20"/>
        </w:rPr>
        <w:t xml:space="preserve"> Board of Directors in 2023 and the operating orientation for 2024;</w:t>
      </w:r>
    </w:p>
    <w:p w14:paraId="0000000A" w14:textId="3473E3CD" w:rsidR="00673470" w:rsidRPr="0037742E" w:rsidRDefault="002171ED" w:rsidP="004A20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742E">
        <w:rPr>
          <w:rFonts w:ascii="Arial" w:hAnsi="Arial"/>
          <w:color w:val="010000"/>
          <w:sz w:val="20"/>
        </w:rPr>
        <w:t>Report on activities of the Supervisory Board in 2023 and the operating orientation for 2024</w:t>
      </w:r>
      <w:r w:rsidR="008F6535" w:rsidRPr="0037742E">
        <w:rPr>
          <w:rFonts w:ascii="Arial" w:hAnsi="Arial"/>
          <w:color w:val="010000"/>
          <w:sz w:val="20"/>
        </w:rPr>
        <w:t>;</w:t>
      </w:r>
    </w:p>
    <w:p w14:paraId="0000000B" w14:textId="5CF70FD4" w:rsidR="00673470" w:rsidRPr="0037742E" w:rsidRDefault="008F6535" w:rsidP="004A20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742E">
        <w:rPr>
          <w:rFonts w:ascii="Arial" w:hAnsi="Arial"/>
          <w:color w:val="010000"/>
          <w:sz w:val="20"/>
        </w:rPr>
        <w:t>Selection of audit company for the Financial Statement 2024;</w:t>
      </w:r>
    </w:p>
    <w:p w14:paraId="0000000C" w14:textId="77777777" w:rsidR="00673470" w:rsidRPr="0037742E" w:rsidRDefault="002171ED" w:rsidP="004A20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742E">
        <w:rPr>
          <w:rFonts w:ascii="Arial" w:hAnsi="Arial"/>
          <w:color w:val="010000"/>
          <w:sz w:val="20"/>
        </w:rPr>
        <w:t>Audited Financial Statements 2023</w:t>
      </w:r>
      <w:r w:rsidRPr="0037742E">
        <w:rPr>
          <w:rFonts w:ascii="Arial" w:hAnsi="Arial"/>
          <w:color w:val="010000"/>
          <w:sz w:val="20"/>
        </w:rPr>
        <w:t>;</w:t>
      </w:r>
    </w:p>
    <w:p w14:paraId="0000000D" w14:textId="3248E92D" w:rsidR="00673470" w:rsidRPr="0037742E" w:rsidRDefault="002171ED" w:rsidP="004A20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742E">
        <w:rPr>
          <w:rFonts w:ascii="Arial" w:hAnsi="Arial"/>
          <w:color w:val="010000"/>
          <w:sz w:val="20"/>
        </w:rPr>
        <w:t xml:space="preserve">Profit distribution; </w:t>
      </w:r>
      <w:r w:rsidR="008F6535" w:rsidRPr="0037742E">
        <w:rPr>
          <w:rFonts w:ascii="Arial" w:hAnsi="Arial"/>
          <w:color w:val="010000"/>
          <w:sz w:val="20"/>
        </w:rPr>
        <w:t>d</w:t>
      </w:r>
      <w:r w:rsidRPr="0037742E">
        <w:rPr>
          <w:rFonts w:ascii="Arial" w:hAnsi="Arial"/>
          <w:color w:val="010000"/>
          <w:sz w:val="20"/>
        </w:rPr>
        <w:t>ividend payment in 2023 and plan for 2024</w:t>
      </w:r>
    </w:p>
    <w:p w14:paraId="0000000E" w14:textId="32262BCE" w:rsidR="00673470" w:rsidRPr="0037742E" w:rsidRDefault="002171ED" w:rsidP="004A20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742E">
        <w:rPr>
          <w:rFonts w:ascii="Arial" w:hAnsi="Arial"/>
          <w:color w:val="010000"/>
          <w:sz w:val="20"/>
        </w:rPr>
        <w:t>Production and business targets and plan for 2024</w:t>
      </w:r>
    </w:p>
    <w:p w14:paraId="0000000F" w14:textId="69E129DD" w:rsidR="00673470" w:rsidRPr="0037742E" w:rsidRDefault="002171ED" w:rsidP="004A20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742E">
        <w:rPr>
          <w:rFonts w:ascii="Arial" w:hAnsi="Arial"/>
          <w:color w:val="010000"/>
          <w:sz w:val="20"/>
        </w:rPr>
        <w:t>Remuneration, salary</w:t>
      </w:r>
      <w:r>
        <w:rPr>
          <w:rFonts w:ascii="Arial" w:hAnsi="Arial"/>
          <w:color w:val="010000"/>
          <w:sz w:val="20"/>
        </w:rPr>
        <w:t>,</w:t>
      </w:r>
      <w:r w:rsidRPr="0037742E">
        <w:rPr>
          <w:rFonts w:ascii="Arial" w:hAnsi="Arial"/>
          <w:color w:val="010000"/>
          <w:sz w:val="20"/>
        </w:rPr>
        <w:t xml:space="preserve"> and bonus </w:t>
      </w:r>
      <w:r w:rsidR="008F6535" w:rsidRPr="0037742E">
        <w:rPr>
          <w:rFonts w:ascii="Arial" w:hAnsi="Arial"/>
          <w:color w:val="010000"/>
          <w:sz w:val="20"/>
        </w:rPr>
        <w:t>for</w:t>
      </w:r>
      <w:r w:rsidRPr="0037742E">
        <w:rPr>
          <w:rFonts w:ascii="Arial" w:hAnsi="Arial"/>
          <w:color w:val="010000"/>
          <w:sz w:val="20"/>
        </w:rPr>
        <w:t xml:space="preserve"> the Board of Directors</w:t>
      </w:r>
      <w:r w:rsidR="008F6535" w:rsidRPr="0037742E">
        <w:rPr>
          <w:rFonts w:ascii="Arial" w:hAnsi="Arial"/>
          <w:color w:val="010000"/>
          <w:sz w:val="20"/>
        </w:rPr>
        <w:t xml:space="preserve">, </w:t>
      </w:r>
      <w:r w:rsidRPr="0037742E">
        <w:rPr>
          <w:rFonts w:ascii="Arial" w:hAnsi="Arial"/>
          <w:color w:val="010000"/>
          <w:sz w:val="20"/>
        </w:rPr>
        <w:t>the Supervisory Board</w:t>
      </w:r>
      <w:r>
        <w:rPr>
          <w:rFonts w:ascii="Arial" w:hAnsi="Arial"/>
          <w:color w:val="010000"/>
          <w:sz w:val="20"/>
        </w:rPr>
        <w:t>,</w:t>
      </w:r>
      <w:r w:rsidRPr="0037742E">
        <w:rPr>
          <w:rFonts w:ascii="Arial" w:hAnsi="Arial"/>
          <w:color w:val="010000"/>
          <w:sz w:val="20"/>
        </w:rPr>
        <w:t xml:space="preserve"> and the Board of Managers in 2023 and plan for 2024 </w:t>
      </w:r>
    </w:p>
    <w:p w14:paraId="00000010" w14:textId="40F3A551" w:rsidR="00673470" w:rsidRPr="0037742E" w:rsidRDefault="002171ED" w:rsidP="004A20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742E">
        <w:rPr>
          <w:rFonts w:ascii="Arial" w:hAnsi="Arial"/>
          <w:color w:val="010000"/>
          <w:sz w:val="20"/>
        </w:rPr>
        <w:t xml:space="preserve">Other </w:t>
      </w:r>
      <w:r w:rsidRPr="0037742E">
        <w:rPr>
          <w:rFonts w:ascii="Arial" w:hAnsi="Arial"/>
          <w:color w:val="010000"/>
          <w:sz w:val="20"/>
        </w:rPr>
        <w:t>contents under the authorit</w:t>
      </w:r>
      <w:r w:rsidR="008F6535" w:rsidRPr="0037742E">
        <w:rPr>
          <w:rFonts w:ascii="Arial" w:hAnsi="Arial"/>
          <w:color w:val="010000"/>
          <w:sz w:val="20"/>
        </w:rPr>
        <w:t>y</w:t>
      </w:r>
      <w:r w:rsidRPr="0037742E">
        <w:rPr>
          <w:rFonts w:ascii="Arial" w:hAnsi="Arial"/>
          <w:color w:val="010000"/>
          <w:sz w:val="20"/>
        </w:rPr>
        <w:t xml:space="preserve"> of the General Meeting of Shareholders.</w:t>
      </w:r>
    </w:p>
    <w:p w14:paraId="00000011" w14:textId="7E0FFDA4" w:rsidR="00673470" w:rsidRPr="0037742E" w:rsidRDefault="002171ED" w:rsidP="004A209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742E">
        <w:rPr>
          <w:rFonts w:ascii="Arial" w:hAnsi="Arial"/>
          <w:color w:val="010000"/>
          <w:sz w:val="20"/>
        </w:rPr>
        <w:t>Article 3. Assign members of the Board of Directors, the Supervisory Board</w:t>
      </w:r>
      <w:r>
        <w:rPr>
          <w:rFonts w:ascii="Arial" w:hAnsi="Arial"/>
          <w:color w:val="010000"/>
          <w:sz w:val="20"/>
        </w:rPr>
        <w:t>,</w:t>
      </w:r>
      <w:r w:rsidRPr="0037742E">
        <w:rPr>
          <w:rFonts w:ascii="Arial" w:hAnsi="Arial"/>
          <w:color w:val="010000"/>
          <w:sz w:val="20"/>
        </w:rPr>
        <w:t xml:space="preserve"> and the Board of Leaders of </w:t>
      </w:r>
      <w:proofErr w:type="spellStart"/>
      <w:r w:rsidRPr="0037742E">
        <w:rPr>
          <w:rFonts w:ascii="Arial" w:hAnsi="Arial"/>
          <w:color w:val="010000"/>
          <w:sz w:val="20"/>
        </w:rPr>
        <w:t>Binh</w:t>
      </w:r>
      <w:proofErr w:type="spellEnd"/>
      <w:r w:rsidRPr="0037742E">
        <w:rPr>
          <w:rFonts w:ascii="Arial" w:hAnsi="Arial"/>
          <w:color w:val="010000"/>
          <w:sz w:val="20"/>
        </w:rPr>
        <w:t xml:space="preserve"> </w:t>
      </w:r>
      <w:proofErr w:type="spellStart"/>
      <w:r w:rsidRPr="0037742E">
        <w:rPr>
          <w:rFonts w:ascii="Arial" w:hAnsi="Arial"/>
          <w:color w:val="010000"/>
          <w:sz w:val="20"/>
        </w:rPr>
        <w:t>Dinh</w:t>
      </w:r>
      <w:proofErr w:type="spellEnd"/>
      <w:r w:rsidRPr="0037742E">
        <w:rPr>
          <w:rFonts w:ascii="Arial" w:hAnsi="Arial"/>
          <w:color w:val="010000"/>
          <w:sz w:val="20"/>
        </w:rPr>
        <w:t xml:space="preserve"> </w:t>
      </w:r>
      <w:proofErr w:type="spellStart"/>
      <w:r w:rsidRPr="0037742E">
        <w:rPr>
          <w:rFonts w:ascii="Arial" w:hAnsi="Arial"/>
          <w:color w:val="010000"/>
          <w:sz w:val="20"/>
        </w:rPr>
        <w:t>Bitco</w:t>
      </w:r>
      <w:proofErr w:type="spellEnd"/>
      <w:r w:rsidRPr="0037742E">
        <w:rPr>
          <w:rFonts w:ascii="Arial" w:hAnsi="Arial"/>
          <w:color w:val="010000"/>
          <w:sz w:val="20"/>
        </w:rPr>
        <w:t xml:space="preserve"> Investment Joint Stock Company to implement the work related to the </w:t>
      </w:r>
      <w:r w:rsidRPr="0037742E">
        <w:rPr>
          <w:rFonts w:ascii="Arial" w:hAnsi="Arial"/>
          <w:color w:val="010000"/>
          <w:sz w:val="20"/>
        </w:rPr>
        <w:t>organization of the Annual General Meeting of Shareholders 2024</w:t>
      </w:r>
      <w:r w:rsidR="008F6535" w:rsidRPr="0037742E">
        <w:rPr>
          <w:rFonts w:ascii="Arial" w:hAnsi="Arial"/>
          <w:color w:val="010000"/>
          <w:sz w:val="20"/>
        </w:rPr>
        <w:t xml:space="preserve">, </w:t>
      </w:r>
      <w:r w:rsidRPr="0037742E">
        <w:rPr>
          <w:rFonts w:ascii="Arial" w:hAnsi="Arial"/>
          <w:color w:val="010000"/>
          <w:sz w:val="20"/>
        </w:rPr>
        <w:t>ensur</w:t>
      </w:r>
      <w:r w:rsidR="008F6535" w:rsidRPr="0037742E">
        <w:rPr>
          <w:rFonts w:ascii="Arial" w:hAnsi="Arial"/>
          <w:color w:val="010000"/>
          <w:sz w:val="20"/>
        </w:rPr>
        <w:t>ing</w:t>
      </w:r>
      <w:r w:rsidRPr="0037742E">
        <w:rPr>
          <w:rFonts w:ascii="Arial" w:hAnsi="Arial"/>
          <w:color w:val="010000"/>
          <w:sz w:val="20"/>
        </w:rPr>
        <w:t xml:space="preserve"> compliance with the provisions of the Law and the Company's Charter.</w:t>
      </w:r>
    </w:p>
    <w:p w14:paraId="00000012" w14:textId="77777777" w:rsidR="00673470" w:rsidRPr="0037742E" w:rsidRDefault="002171ED" w:rsidP="004A209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742E">
        <w:rPr>
          <w:rFonts w:ascii="Arial" w:hAnsi="Arial"/>
          <w:color w:val="010000"/>
          <w:sz w:val="20"/>
        </w:rPr>
        <w:t>Article 4: This Resolution takes effect from the date of its signing</w:t>
      </w:r>
    </w:p>
    <w:p w14:paraId="00000013" w14:textId="46826E2B" w:rsidR="00673470" w:rsidRPr="0037742E" w:rsidRDefault="002171ED" w:rsidP="004A209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742E">
        <w:rPr>
          <w:rFonts w:ascii="Arial" w:hAnsi="Arial"/>
          <w:color w:val="010000"/>
          <w:sz w:val="20"/>
        </w:rPr>
        <w:t>The Board of Directors, the Supervisory Boar</w:t>
      </w:r>
      <w:r w:rsidRPr="0037742E">
        <w:rPr>
          <w:rFonts w:ascii="Arial" w:hAnsi="Arial"/>
          <w:color w:val="010000"/>
          <w:sz w:val="20"/>
        </w:rPr>
        <w:t>d, the Manager</w:t>
      </w:r>
      <w:r w:rsidR="008F6535" w:rsidRPr="0037742E">
        <w:rPr>
          <w:rFonts w:ascii="Arial" w:hAnsi="Arial"/>
          <w:color w:val="010000"/>
          <w:sz w:val="20"/>
        </w:rPr>
        <w:t xml:space="preserve"> of the Company</w:t>
      </w:r>
      <w:r w:rsidRPr="0037742E">
        <w:rPr>
          <w:rFonts w:ascii="Arial" w:hAnsi="Arial"/>
          <w:color w:val="010000"/>
          <w:sz w:val="20"/>
        </w:rPr>
        <w:t>, departments and units of the Company</w:t>
      </w:r>
      <w:r>
        <w:rPr>
          <w:rFonts w:ascii="Arial" w:hAnsi="Arial"/>
          <w:color w:val="010000"/>
          <w:sz w:val="20"/>
        </w:rPr>
        <w:t>,</w:t>
      </w:r>
      <w:bookmarkStart w:id="1" w:name="_GoBack"/>
      <w:bookmarkEnd w:id="1"/>
      <w:r w:rsidRPr="0037742E">
        <w:rPr>
          <w:rFonts w:ascii="Arial" w:hAnsi="Arial"/>
          <w:color w:val="010000"/>
          <w:sz w:val="20"/>
        </w:rPr>
        <w:t xml:space="preserve"> and relevant individuals are responsible for implementing this Resolution.</w:t>
      </w:r>
      <w:r w:rsidR="008F6535" w:rsidRPr="0037742E">
        <w:rPr>
          <w:rFonts w:ascii="Arial" w:hAnsi="Arial"/>
          <w:color w:val="010000"/>
          <w:sz w:val="20"/>
        </w:rPr>
        <w:t>/.</w:t>
      </w:r>
    </w:p>
    <w:p w14:paraId="00000014" w14:textId="77777777" w:rsidR="00673470" w:rsidRPr="0037742E" w:rsidRDefault="00673470" w:rsidP="004A209A">
      <w:pPr>
        <w:pBdr>
          <w:top w:val="nil"/>
          <w:left w:val="nil"/>
          <w:bottom w:val="nil"/>
          <w:right w:val="nil"/>
          <w:between w:val="nil"/>
        </w:pBdr>
        <w:tabs>
          <w:tab w:val="left" w:pos="25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673470" w:rsidRPr="0037742E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8731E"/>
    <w:multiLevelType w:val="multilevel"/>
    <w:tmpl w:val="3F64390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C1C1C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70"/>
    <w:rsid w:val="002171ED"/>
    <w:rsid w:val="0037742E"/>
    <w:rsid w:val="004A209A"/>
    <w:rsid w:val="00534C5B"/>
    <w:rsid w:val="00673470"/>
    <w:rsid w:val="008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25042"/>
  <w15:docId w15:val="{77F912AC-88C6-46B1-8C36-CDE22B47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1C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C1C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1C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6" w:lineRule="auto"/>
      <w:ind w:firstLine="40"/>
    </w:pPr>
    <w:rPr>
      <w:rFonts w:ascii="Times New Roman" w:eastAsia="Times New Roman" w:hAnsi="Times New Roman" w:cs="Times New Roman"/>
      <w:color w:val="1C1C1C"/>
      <w:sz w:val="26"/>
      <w:szCs w:val="26"/>
    </w:rPr>
  </w:style>
  <w:style w:type="paragraph" w:customStyle="1" w:styleId="Tiu10">
    <w:name w:val="Tiêu đề #1"/>
    <w:basedOn w:val="Normal"/>
    <w:link w:val="Tiu1"/>
    <w:pPr>
      <w:spacing w:line="307" w:lineRule="auto"/>
      <w:outlineLvl w:val="0"/>
    </w:pPr>
    <w:rPr>
      <w:rFonts w:ascii="Times New Roman" w:eastAsia="Times New Roman" w:hAnsi="Times New Roman" w:cs="Times New Roman"/>
      <w:b/>
      <w:bCs/>
      <w:color w:val="1C1C1C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color w:val="1C1C1C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YkuQZrps2/Fx80+eH3lyQv5Rhg==">CgMxLjAyCGguZ2pkZ3hzOAByITE2bU9DNExWa3Z5NUZHNXJxTzNJRXV2STY2clF4YkhiSQ==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1809</Characters>
  <Application>Microsoft Office Word</Application>
  <DocSecurity>0</DocSecurity>
  <Lines>32</Lines>
  <Paragraphs>22</Paragraphs>
  <ScaleCrop>false</ScaleCrop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Nguyen Thi Quynh Trang</cp:lastModifiedBy>
  <cp:revision>8</cp:revision>
  <dcterms:created xsi:type="dcterms:W3CDTF">2024-04-15T10:30:00Z</dcterms:created>
  <dcterms:modified xsi:type="dcterms:W3CDTF">2024-04-16T07:38:00Z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3e727f7ddf3bbee88c91152989e3295e74908acf42cdeebbeb95ff6d72325463</vt:lpwstr>
  </property>
</Properties>
</file>