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37858D2" w:rsidR="008D0F88" w:rsidRPr="004A76E5" w:rsidRDefault="00DE09D2" w:rsidP="004F39B4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4A76E5">
        <w:rPr>
          <w:rFonts w:ascii="Arial" w:hAnsi="Arial"/>
          <w:b/>
          <w:color w:val="010000"/>
          <w:sz w:val="20"/>
        </w:rPr>
        <w:t xml:space="preserve">E29: </w:t>
      </w:r>
      <w:r w:rsidR="004C4BE1" w:rsidRPr="004A76E5">
        <w:rPr>
          <w:rFonts w:ascii="Arial" w:hAnsi="Arial"/>
          <w:b/>
          <w:color w:val="010000"/>
          <w:sz w:val="20"/>
        </w:rPr>
        <w:t xml:space="preserve">Explanation and remedy plan to overcome the status of E29 shares being put under alert </w:t>
      </w:r>
    </w:p>
    <w:p w14:paraId="00000002" w14:textId="1BA61434" w:rsidR="008D0F88" w:rsidRPr="004A76E5" w:rsidRDefault="00DE09D2" w:rsidP="004F39B4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A76E5">
        <w:rPr>
          <w:rFonts w:ascii="Arial" w:hAnsi="Arial"/>
          <w:color w:val="010000"/>
          <w:sz w:val="20"/>
        </w:rPr>
        <w:t xml:space="preserve">On April 11, 2024, 29 Investment Construction And Engineering Joint Stock Company announced Official Dispatch No. 177/CT29-TCKT </w:t>
      </w:r>
      <w:r w:rsidR="004F39B4">
        <w:rPr>
          <w:rFonts w:ascii="Arial" w:hAnsi="Arial"/>
          <w:color w:val="010000"/>
          <w:sz w:val="20"/>
        </w:rPr>
        <w:t>an</w:t>
      </w:r>
      <w:bookmarkStart w:id="0" w:name="_GoBack"/>
      <w:bookmarkEnd w:id="0"/>
      <w:r w:rsidRPr="004A76E5">
        <w:rPr>
          <w:rFonts w:ascii="Arial" w:hAnsi="Arial"/>
          <w:color w:val="010000"/>
          <w:sz w:val="20"/>
        </w:rPr>
        <w:t xml:space="preserve"> </w:t>
      </w:r>
      <w:r w:rsidR="004C4BE1" w:rsidRPr="004A76E5">
        <w:rPr>
          <w:rFonts w:ascii="Arial" w:hAnsi="Arial"/>
          <w:color w:val="010000"/>
          <w:sz w:val="20"/>
        </w:rPr>
        <w:t>explanation and remedy plan to overcome the status of E29 shares being put under alert</w:t>
      </w:r>
      <w:r>
        <w:rPr>
          <w:rFonts w:ascii="Arial" w:hAnsi="Arial"/>
          <w:color w:val="010000"/>
          <w:sz w:val="20"/>
        </w:rPr>
        <w:t xml:space="preserve"> as</w:t>
      </w:r>
      <w:r w:rsidR="004C4BE1" w:rsidRPr="004A76E5">
        <w:rPr>
          <w:rFonts w:ascii="Arial" w:hAnsi="Arial"/>
          <w:color w:val="010000"/>
          <w:sz w:val="20"/>
        </w:rPr>
        <w:t xml:space="preserve"> </w:t>
      </w:r>
      <w:r w:rsidRPr="004A76E5">
        <w:rPr>
          <w:rFonts w:ascii="Arial" w:hAnsi="Arial"/>
          <w:color w:val="010000"/>
          <w:sz w:val="20"/>
        </w:rPr>
        <w:t>follows:</w:t>
      </w:r>
    </w:p>
    <w:p w14:paraId="00000005" w14:textId="77777777" w:rsidR="008D0F88" w:rsidRPr="004A76E5" w:rsidRDefault="00DE09D2" w:rsidP="004F39B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A76E5">
        <w:rPr>
          <w:rFonts w:ascii="Arial" w:hAnsi="Arial"/>
          <w:color w:val="010000"/>
          <w:sz w:val="20"/>
        </w:rPr>
        <w:t>Explanation:</w:t>
      </w:r>
    </w:p>
    <w:p w14:paraId="00000006" w14:textId="0036D5FF" w:rsidR="008D0F88" w:rsidRPr="004A76E5" w:rsidRDefault="00DE09D2" w:rsidP="004F39B4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A76E5">
        <w:rPr>
          <w:rFonts w:ascii="Arial" w:hAnsi="Arial"/>
          <w:color w:val="010000"/>
          <w:sz w:val="20"/>
        </w:rPr>
        <w:t xml:space="preserve">Because the Company, which specializes in construction and transportation as its production and business activities, operates across the country, from North to South, spanning numerous provinces and cities; its organizational structure comprises the Office block, </w:t>
      </w:r>
      <w:r w:rsidR="004C4BE1" w:rsidRPr="004A76E5">
        <w:rPr>
          <w:rFonts w:ascii="Arial" w:hAnsi="Arial"/>
          <w:color w:val="010000"/>
          <w:sz w:val="20"/>
        </w:rPr>
        <w:t xml:space="preserve">the </w:t>
      </w:r>
      <w:r w:rsidRPr="004A76E5">
        <w:rPr>
          <w:rFonts w:ascii="Arial" w:hAnsi="Arial"/>
          <w:color w:val="010000"/>
          <w:sz w:val="20"/>
        </w:rPr>
        <w:t xml:space="preserve">Branch block, </w:t>
      </w:r>
      <w:r w:rsidR="004C4BE1" w:rsidRPr="004A76E5">
        <w:rPr>
          <w:rFonts w:ascii="Arial" w:hAnsi="Arial"/>
          <w:color w:val="010000"/>
          <w:sz w:val="20"/>
        </w:rPr>
        <w:t xml:space="preserve">the </w:t>
      </w:r>
      <w:r w:rsidRPr="004A76E5">
        <w:rPr>
          <w:rFonts w:ascii="Arial" w:hAnsi="Arial"/>
          <w:color w:val="010000"/>
          <w:sz w:val="20"/>
        </w:rPr>
        <w:t xml:space="preserve">Executive Board, and </w:t>
      </w:r>
      <w:r w:rsidR="004C4BE1" w:rsidRPr="004A76E5">
        <w:rPr>
          <w:rFonts w:ascii="Arial" w:hAnsi="Arial"/>
          <w:color w:val="010000"/>
          <w:sz w:val="20"/>
        </w:rPr>
        <w:t xml:space="preserve">the </w:t>
      </w:r>
      <w:r w:rsidRPr="004A76E5">
        <w:rPr>
          <w:rFonts w:ascii="Arial" w:hAnsi="Arial"/>
          <w:color w:val="010000"/>
          <w:sz w:val="20"/>
        </w:rPr>
        <w:t xml:space="preserve">Representative Office. According to the Company's regulations, </w:t>
      </w:r>
      <w:r w:rsidR="004C4BE1" w:rsidRPr="004A76E5">
        <w:rPr>
          <w:rFonts w:ascii="Arial" w:hAnsi="Arial"/>
          <w:color w:val="010000"/>
          <w:sz w:val="20"/>
        </w:rPr>
        <w:t xml:space="preserve">units under </w:t>
      </w:r>
      <w:r w:rsidRPr="004A76E5">
        <w:rPr>
          <w:rFonts w:ascii="Arial" w:hAnsi="Arial"/>
          <w:color w:val="010000"/>
          <w:sz w:val="20"/>
        </w:rPr>
        <w:t xml:space="preserve">the Branch </w:t>
      </w:r>
      <w:r w:rsidR="004C4BE1" w:rsidRPr="004A76E5">
        <w:rPr>
          <w:rFonts w:ascii="Arial" w:hAnsi="Arial"/>
          <w:color w:val="010000"/>
          <w:sz w:val="20"/>
        </w:rPr>
        <w:t xml:space="preserve">block </w:t>
      </w:r>
      <w:r w:rsidRPr="004A76E5">
        <w:rPr>
          <w:rFonts w:ascii="Arial" w:hAnsi="Arial"/>
          <w:color w:val="010000"/>
          <w:sz w:val="20"/>
        </w:rPr>
        <w:t xml:space="preserve">self-manage, prepare </w:t>
      </w:r>
      <w:r w:rsidR="004C4BE1" w:rsidRPr="004A76E5">
        <w:rPr>
          <w:rFonts w:ascii="Arial" w:hAnsi="Arial"/>
          <w:color w:val="010000"/>
          <w:sz w:val="20"/>
        </w:rPr>
        <w:t>dossiers</w:t>
      </w:r>
      <w:r w:rsidR="004F39B4">
        <w:rPr>
          <w:rFonts w:ascii="Arial" w:hAnsi="Arial"/>
          <w:color w:val="010000"/>
          <w:sz w:val="20"/>
        </w:rPr>
        <w:t>,</w:t>
      </w:r>
      <w:r w:rsidRPr="004A76E5">
        <w:rPr>
          <w:rFonts w:ascii="Arial" w:hAnsi="Arial"/>
          <w:color w:val="010000"/>
          <w:sz w:val="20"/>
        </w:rPr>
        <w:t xml:space="preserve"> and account for expenses at the construction site to ensure the </w:t>
      </w:r>
      <w:r w:rsidR="004C4BE1" w:rsidRPr="004A76E5">
        <w:rPr>
          <w:rFonts w:ascii="Arial" w:hAnsi="Arial"/>
          <w:color w:val="010000"/>
          <w:sz w:val="20"/>
        </w:rPr>
        <w:t xml:space="preserve">timely </w:t>
      </w:r>
      <w:r w:rsidRPr="004A76E5">
        <w:rPr>
          <w:rFonts w:ascii="Arial" w:hAnsi="Arial"/>
          <w:color w:val="010000"/>
          <w:sz w:val="20"/>
        </w:rPr>
        <w:t>construction progress. Therefore, the total outstanding expense</w:t>
      </w:r>
      <w:r w:rsidR="004C4BE1" w:rsidRPr="004A76E5">
        <w:rPr>
          <w:rFonts w:ascii="Arial" w:hAnsi="Arial"/>
          <w:color w:val="010000"/>
          <w:sz w:val="20"/>
        </w:rPr>
        <w:t>s</w:t>
      </w:r>
      <w:r w:rsidRPr="004A76E5">
        <w:rPr>
          <w:rFonts w:ascii="Arial" w:hAnsi="Arial"/>
          <w:color w:val="010000"/>
          <w:sz w:val="20"/>
        </w:rPr>
        <w:t xml:space="preserve"> of the entire </w:t>
      </w:r>
      <w:r w:rsidR="004C4BE1" w:rsidRPr="004A76E5">
        <w:rPr>
          <w:rFonts w:ascii="Arial" w:hAnsi="Arial"/>
          <w:color w:val="010000"/>
          <w:sz w:val="20"/>
        </w:rPr>
        <w:t>C</w:t>
      </w:r>
      <w:r w:rsidRPr="004A76E5">
        <w:rPr>
          <w:rFonts w:ascii="Arial" w:hAnsi="Arial"/>
          <w:color w:val="010000"/>
          <w:sz w:val="20"/>
        </w:rPr>
        <w:t xml:space="preserve">ompany </w:t>
      </w:r>
      <w:r>
        <w:rPr>
          <w:rFonts w:ascii="Arial" w:hAnsi="Arial"/>
          <w:color w:val="010000"/>
          <w:sz w:val="20"/>
        </w:rPr>
        <w:t>are</w:t>
      </w:r>
      <w:r w:rsidRPr="004A76E5">
        <w:rPr>
          <w:rFonts w:ascii="Arial" w:hAnsi="Arial"/>
          <w:color w:val="010000"/>
          <w:sz w:val="20"/>
        </w:rPr>
        <w:t xml:space="preserve"> deemed appropriate.</w:t>
      </w:r>
      <w:r w:rsidR="004C4BE1" w:rsidRPr="004A76E5">
        <w:rPr>
          <w:rFonts w:ascii="Arial" w:hAnsi="Arial"/>
          <w:color w:val="010000"/>
          <w:sz w:val="20"/>
        </w:rPr>
        <w:t xml:space="preserve"> </w:t>
      </w:r>
    </w:p>
    <w:p w14:paraId="00000007" w14:textId="7C12D4BD" w:rsidR="008D0F88" w:rsidRPr="004A76E5" w:rsidRDefault="00DE09D2" w:rsidP="004F39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A76E5">
        <w:rPr>
          <w:rFonts w:ascii="Arial" w:hAnsi="Arial"/>
          <w:color w:val="010000"/>
          <w:sz w:val="20"/>
        </w:rPr>
        <w:t xml:space="preserve">Given the high value associated with the construction industry, the construction period typically extends over 1 year. </w:t>
      </w:r>
      <w:r>
        <w:rPr>
          <w:rFonts w:ascii="Arial" w:hAnsi="Arial"/>
          <w:color w:val="010000"/>
          <w:sz w:val="20"/>
        </w:rPr>
        <w:t>Especially</w:t>
      </w:r>
      <w:r w:rsidRPr="004A76E5">
        <w:rPr>
          <w:rFonts w:ascii="Arial" w:hAnsi="Arial"/>
          <w:color w:val="010000"/>
          <w:sz w:val="20"/>
        </w:rPr>
        <w:t xml:space="preserve">, projects funded by the State Budget are evaluated for their high potential for debt recovery. However, this </w:t>
      </w:r>
      <w:r w:rsidR="004C4BE1" w:rsidRPr="004A76E5">
        <w:rPr>
          <w:rFonts w:ascii="Arial" w:hAnsi="Arial"/>
          <w:color w:val="010000"/>
          <w:sz w:val="20"/>
        </w:rPr>
        <w:t xml:space="preserve">capital </w:t>
      </w:r>
      <w:r w:rsidRPr="004A76E5">
        <w:rPr>
          <w:rFonts w:ascii="Arial" w:hAnsi="Arial"/>
          <w:color w:val="010000"/>
          <w:sz w:val="20"/>
        </w:rPr>
        <w:t xml:space="preserve">source is often dependent because the annual State Budget is not yet arranged. Although it affects the financial </w:t>
      </w:r>
      <w:r w:rsidR="004C4BE1" w:rsidRPr="004A76E5">
        <w:rPr>
          <w:rFonts w:ascii="Arial" w:hAnsi="Arial"/>
          <w:color w:val="010000"/>
          <w:sz w:val="20"/>
        </w:rPr>
        <w:t>status</w:t>
      </w:r>
      <w:r w:rsidRPr="004A76E5">
        <w:rPr>
          <w:rFonts w:ascii="Arial" w:hAnsi="Arial"/>
          <w:color w:val="010000"/>
          <w:sz w:val="20"/>
        </w:rPr>
        <w:t xml:space="preserve"> of the Company, receivables usually lasting from 1-3 years are completely appropriate.</w:t>
      </w:r>
      <w:r w:rsidR="004C4BE1" w:rsidRPr="004A76E5">
        <w:rPr>
          <w:rFonts w:ascii="Arial" w:hAnsi="Arial"/>
          <w:color w:val="010000"/>
          <w:sz w:val="20"/>
        </w:rPr>
        <w:t xml:space="preserve"> </w:t>
      </w:r>
    </w:p>
    <w:p w14:paraId="00000008" w14:textId="77777777" w:rsidR="008D0F88" w:rsidRPr="004A76E5" w:rsidRDefault="00DE09D2" w:rsidP="004F39B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A76E5">
        <w:rPr>
          <w:rFonts w:ascii="Arial" w:hAnsi="Arial"/>
          <w:color w:val="010000"/>
          <w:sz w:val="20"/>
        </w:rPr>
        <w:t>Remedy plan:</w:t>
      </w:r>
    </w:p>
    <w:p w14:paraId="00000009" w14:textId="371D5C4F" w:rsidR="008D0F88" w:rsidRPr="004A76E5" w:rsidRDefault="00DE09D2" w:rsidP="004F39B4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A76E5">
        <w:rPr>
          <w:rFonts w:ascii="Arial" w:hAnsi="Arial"/>
          <w:color w:val="010000"/>
          <w:sz w:val="20"/>
        </w:rPr>
        <w:t>The Company has been pushing for the acceptance and settlement of projects with unfinished volumes. The Company continues to proactively work with the investor</w:t>
      </w:r>
      <w:r w:rsidR="004C4BE1" w:rsidRPr="004A76E5">
        <w:rPr>
          <w:rFonts w:ascii="Arial" w:hAnsi="Arial"/>
          <w:color w:val="010000"/>
          <w:sz w:val="20"/>
        </w:rPr>
        <w:t>s</w:t>
      </w:r>
      <w:r w:rsidRPr="004A76E5">
        <w:rPr>
          <w:rFonts w:ascii="Arial" w:hAnsi="Arial"/>
          <w:color w:val="010000"/>
          <w:sz w:val="20"/>
        </w:rPr>
        <w:t xml:space="preserve"> to recover the debts of the projects, especially those with high debt age.</w:t>
      </w:r>
    </w:p>
    <w:p w14:paraId="0000000A" w14:textId="77777777" w:rsidR="008D0F88" w:rsidRPr="004A76E5" w:rsidRDefault="008D0F88" w:rsidP="004F39B4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</w:p>
    <w:sectPr w:rsidR="008D0F88" w:rsidRPr="004A76E5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8847504-F9F2-4D79-AF2E-9272970C1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E791382-CF04-4936-A84E-15035976168C}"/>
    <w:embedItalic r:id="rId3" w:fontKey="{6CF90D0B-AB7C-4591-9E6B-092A6EBF8AB9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A546E7E-6D09-41DB-91B1-D46D1F5F33A4}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8EBDD59-1810-4A03-B417-339B2BCFC1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707659"/>
    <w:multiLevelType w:val="multilevel"/>
    <w:tmpl w:val="06680860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D582904"/>
    <w:multiLevelType w:val="multilevel"/>
    <w:tmpl w:val="646C05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F88"/>
    <w:rsid w:val="004A76E5"/>
    <w:rsid w:val="004C4BE1"/>
    <w:rsid w:val="004F39B4"/>
    <w:rsid w:val="008D0F88"/>
    <w:rsid w:val="009D64E4"/>
    <w:rsid w:val="00DE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6601E6"/>
  <w15:docId w15:val="{FCB1D67E-3327-48FD-BBAF-70F3DA0DA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/>
      <w:bCs/>
      <w:i w:val="0"/>
      <w:iCs w:val="0"/>
      <w:smallCaps w:val="0"/>
      <w:strike w:val="0"/>
      <w:color w:val="DD2441"/>
      <w:w w:val="70"/>
      <w:sz w:val="20"/>
      <w:szCs w:val="20"/>
      <w:u w:val="none"/>
      <w:shd w:val="clear" w:color="auto" w:fill="auto"/>
    </w:rPr>
  </w:style>
  <w:style w:type="character" w:customStyle="1" w:styleId="Vnbnnidung6">
    <w:name w:val="Văn bản nội dung (6)_"/>
    <w:basedOn w:val="DefaultParagraphFont"/>
    <w:link w:val="Vnbnnidung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DD2441"/>
      <w:sz w:val="19"/>
      <w:szCs w:val="19"/>
      <w:u w:val="none"/>
      <w:shd w:val="clear" w:color="auto" w:fill="auto"/>
    </w:rPr>
  </w:style>
  <w:style w:type="character" w:customStyle="1" w:styleId="Vnbnnidung5">
    <w:name w:val="Văn bản nội dung (5)_"/>
    <w:basedOn w:val="DefaultParagraphFont"/>
    <w:link w:val="Vnbnnidung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DD2441"/>
      <w:sz w:val="30"/>
      <w:szCs w:val="30"/>
      <w:u w:val="none"/>
      <w:shd w:val="clear" w:color="auto" w:fill="auto"/>
    </w:rPr>
  </w:style>
  <w:style w:type="paragraph" w:customStyle="1" w:styleId="Vnbnnidung0">
    <w:name w:val="Văn bản nội dung"/>
    <w:basedOn w:val="Normal"/>
    <w:link w:val="Vnbnnidung"/>
    <w:pPr>
      <w:spacing w:line="338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Vnbnnidung30">
    <w:name w:val="Văn bản nội dung (3)"/>
    <w:basedOn w:val="Normal"/>
    <w:link w:val="Vnbnnidung3"/>
    <w:pPr>
      <w:spacing w:line="250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Vnbnnidung20">
    <w:name w:val="Văn bản nội dung (2)"/>
    <w:basedOn w:val="Normal"/>
    <w:link w:val="Vnbnnidung2"/>
    <w:pPr>
      <w:spacing w:line="175" w:lineRule="auto"/>
      <w:ind w:left="2930"/>
      <w:jc w:val="right"/>
    </w:pPr>
    <w:rPr>
      <w:rFonts w:ascii="Arial" w:eastAsia="Arial" w:hAnsi="Arial" w:cs="Arial"/>
      <w:sz w:val="10"/>
      <w:szCs w:val="10"/>
    </w:rPr>
  </w:style>
  <w:style w:type="paragraph" w:customStyle="1" w:styleId="Tiu10">
    <w:name w:val="Tiêu đề #1"/>
    <w:basedOn w:val="Normal"/>
    <w:link w:val="Tiu1"/>
    <w:pPr>
      <w:spacing w:line="314" w:lineRule="auto"/>
      <w:ind w:firstLine="7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Vnbnnidung40">
    <w:name w:val="Văn bản nội dung (4)"/>
    <w:basedOn w:val="Normal"/>
    <w:link w:val="Vnbnnidung4"/>
    <w:pPr>
      <w:ind w:left="3580"/>
    </w:pPr>
    <w:rPr>
      <w:rFonts w:ascii="Arial" w:eastAsia="Arial" w:hAnsi="Arial" w:cs="Arial"/>
      <w:b/>
      <w:bCs/>
      <w:color w:val="DD2441"/>
      <w:w w:val="70"/>
      <w:sz w:val="20"/>
      <w:szCs w:val="20"/>
    </w:rPr>
  </w:style>
  <w:style w:type="paragraph" w:customStyle="1" w:styleId="Vnbnnidung60">
    <w:name w:val="Văn bản nội dung (6)"/>
    <w:basedOn w:val="Normal"/>
    <w:link w:val="Vnbnnidung6"/>
    <w:pPr>
      <w:ind w:left="5160"/>
    </w:pPr>
    <w:rPr>
      <w:rFonts w:ascii="Times New Roman" w:eastAsia="Times New Roman" w:hAnsi="Times New Roman" w:cs="Times New Roman"/>
      <w:color w:val="DD2441"/>
      <w:sz w:val="19"/>
      <w:szCs w:val="19"/>
    </w:rPr>
  </w:style>
  <w:style w:type="paragraph" w:customStyle="1" w:styleId="Vnbnnidung50">
    <w:name w:val="Văn bản nội dung (5)"/>
    <w:basedOn w:val="Normal"/>
    <w:link w:val="Vnbnnidung5"/>
    <w:pPr>
      <w:jc w:val="right"/>
    </w:pPr>
    <w:rPr>
      <w:rFonts w:ascii="Times New Roman" w:eastAsia="Times New Roman" w:hAnsi="Times New Roman" w:cs="Times New Roman"/>
      <w:b/>
      <w:bCs/>
      <w:color w:val="DD2441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IoTonVkQ8mLB6wbrGtXzMXS0Eg==">CgMxLjAyCGguZ2pkZ3hzOAByITFNb0tQR0xvbHdwTHFFbFhRd1hBYWdNNUdLY0dDVVdFSg==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245</Words>
  <Characters>1417</Characters>
  <Application>Microsoft Office Word</Application>
  <DocSecurity>0</DocSecurity>
  <Lines>21</Lines>
  <Paragraphs>7</Paragraphs>
  <ScaleCrop>false</ScaleCrop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Nguyen Thi Quynh Trang</cp:lastModifiedBy>
  <cp:revision>9</cp:revision>
  <dcterms:created xsi:type="dcterms:W3CDTF">2024-04-16T01:32:00Z</dcterms:created>
  <dcterms:modified xsi:type="dcterms:W3CDTF">2024-04-16T07:58:00Z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c7b3f5bf3e5ea874a5f68b94e69069f8b8a44958b95e2f003d566c9bc720cd68</vt:lpwstr>
  </property>
</Properties>
</file>