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8C81"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85375">
        <w:rPr>
          <w:rFonts w:ascii="Arial" w:hAnsi="Arial" w:cs="Arial"/>
          <w:b/>
          <w:color w:val="010000"/>
          <w:sz w:val="20"/>
        </w:rPr>
        <w:t>LDP: Annual General Mandate 2024</w:t>
      </w:r>
    </w:p>
    <w:p w14:paraId="75110AD9"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On April 10, 2024, Lam Dong Pharmaceutical JSC announced General Mandate No. 01/NQ-DHDCD/LDP/2024 as follows:</w:t>
      </w:r>
    </w:p>
    <w:p w14:paraId="29DA2CCE"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 Approve the following reports:</w:t>
      </w:r>
    </w:p>
    <w:p w14:paraId="31F5ABFC" w14:textId="77777777" w:rsidR="00112A52" w:rsidRPr="00185375" w:rsidRDefault="004F5A41" w:rsidP="00E33BB2">
      <w:pPr>
        <w:numPr>
          <w:ilvl w:val="0"/>
          <w:numId w:val="4"/>
        </w:numPr>
        <w:pBdr>
          <w:top w:val="nil"/>
          <w:left w:val="nil"/>
          <w:bottom w:val="nil"/>
          <w:right w:val="nil"/>
          <w:between w:val="nil"/>
        </w:pBdr>
        <w:tabs>
          <w:tab w:val="left" w:pos="432"/>
          <w:tab w:val="left" w:pos="1925"/>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Report in 2023 and orientation for 2024 of the Board of Directors.</w:t>
      </w:r>
    </w:p>
    <w:p w14:paraId="38D3B186" w14:textId="77777777" w:rsidR="00112A52" w:rsidRPr="00185375" w:rsidRDefault="004F5A41" w:rsidP="00E33BB2">
      <w:pPr>
        <w:numPr>
          <w:ilvl w:val="0"/>
          <w:numId w:val="4"/>
        </w:numPr>
        <w:pBdr>
          <w:top w:val="nil"/>
          <w:left w:val="nil"/>
          <w:bottom w:val="nil"/>
          <w:right w:val="nil"/>
          <w:between w:val="nil"/>
        </w:pBdr>
        <w:tabs>
          <w:tab w:val="left" w:pos="432"/>
          <w:tab w:val="left" w:pos="1925"/>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Report in 2023 of the independent member of the Board of Directors.</w:t>
      </w:r>
    </w:p>
    <w:p w14:paraId="2C4E2664" w14:textId="77777777" w:rsidR="00112A52" w:rsidRPr="00185375" w:rsidRDefault="004F5A41" w:rsidP="00E33BB2">
      <w:pPr>
        <w:numPr>
          <w:ilvl w:val="0"/>
          <w:numId w:val="4"/>
        </w:numPr>
        <w:pBdr>
          <w:top w:val="nil"/>
          <w:left w:val="nil"/>
          <w:bottom w:val="nil"/>
          <w:right w:val="nil"/>
          <w:between w:val="nil"/>
        </w:pBdr>
        <w:tabs>
          <w:tab w:val="left" w:pos="432"/>
          <w:tab w:val="left" w:pos="1925"/>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Report on Business and Investment Results in 2023 and Business and Investment Plan for 2024 of the General Manager.</w:t>
      </w:r>
    </w:p>
    <w:p w14:paraId="4D239375" w14:textId="1BF116DA" w:rsidR="00112A52" w:rsidRPr="00185375" w:rsidRDefault="00185375" w:rsidP="00316A94">
      <w:pPr>
        <w:pBdr>
          <w:top w:val="nil"/>
          <w:left w:val="nil"/>
          <w:bottom w:val="nil"/>
          <w:right w:val="nil"/>
          <w:between w:val="nil"/>
        </w:pBdr>
        <w:tabs>
          <w:tab w:val="left" w:pos="432"/>
          <w:tab w:val="left" w:pos="1925"/>
        </w:tabs>
        <w:spacing w:after="120" w:line="360" w:lineRule="auto"/>
        <w:rPr>
          <w:rFonts w:ascii="Arial" w:eastAsia="Arial" w:hAnsi="Arial" w:cs="Arial"/>
          <w:color w:val="010000"/>
          <w:sz w:val="20"/>
          <w:szCs w:val="20"/>
        </w:rPr>
      </w:pPr>
      <w:r w:rsidRPr="00185375">
        <w:rPr>
          <w:rFonts w:ascii="Arial" w:hAnsi="Arial" w:cs="Arial"/>
          <w:color w:val="010000"/>
          <w:sz w:val="20"/>
        </w:rPr>
        <w:t>B</w:t>
      </w:r>
      <w:r w:rsidR="004F5A41" w:rsidRPr="00185375">
        <w:rPr>
          <w:rFonts w:ascii="Arial" w:hAnsi="Arial" w:cs="Arial"/>
          <w:color w:val="010000"/>
          <w:sz w:val="20"/>
        </w:rPr>
        <w:t>usiness results:</w:t>
      </w:r>
    </w:p>
    <w:p w14:paraId="68DCD421" w14:textId="77777777" w:rsidR="00112A52" w:rsidRPr="00185375" w:rsidRDefault="004F5A41" w:rsidP="00185375">
      <w:pPr>
        <w:pBdr>
          <w:top w:val="nil"/>
          <w:left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Unit: million VND</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2"/>
        <w:gridCol w:w="2871"/>
        <w:gridCol w:w="1055"/>
        <w:gridCol w:w="994"/>
        <w:gridCol w:w="911"/>
        <w:gridCol w:w="936"/>
        <w:gridCol w:w="1014"/>
        <w:gridCol w:w="954"/>
      </w:tblGrid>
      <w:tr w:rsidR="00186078" w:rsidRPr="00185375" w14:paraId="7DF9B9C1" w14:textId="77777777" w:rsidTr="00E33BB2">
        <w:tc>
          <w:tcPr>
            <w:tcW w:w="156" w:type="pct"/>
            <w:vMerge w:val="restart"/>
            <w:shd w:val="clear" w:color="auto" w:fill="auto"/>
            <w:tcMar>
              <w:top w:w="0" w:type="dxa"/>
              <w:bottom w:w="0" w:type="dxa"/>
            </w:tcMar>
            <w:vAlign w:val="center"/>
          </w:tcPr>
          <w:p w14:paraId="4EAB78EC" w14:textId="77777777" w:rsidR="00186078" w:rsidRPr="00185375" w:rsidRDefault="00186078" w:rsidP="00186078">
            <w:pPr>
              <w:tabs>
                <w:tab w:val="left" w:pos="432"/>
              </w:tabs>
              <w:spacing w:after="120" w:line="360" w:lineRule="auto"/>
              <w:jc w:val="center"/>
              <w:rPr>
                <w:rFonts w:ascii="Arial" w:eastAsia="Arial" w:hAnsi="Arial" w:cs="Arial"/>
                <w:color w:val="010000"/>
                <w:sz w:val="20"/>
                <w:szCs w:val="20"/>
              </w:rPr>
            </w:pPr>
          </w:p>
        </w:tc>
        <w:tc>
          <w:tcPr>
            <w:tcW w:w="1592" w:type="pct"/>
            <w:vMerge w:val="restart"/>
            <w:shd w:val="clear" w:color="auto" w:fill="auto"/>
            <w:tcMar>
              <w:top w:w="0" w:type="dxa"/>
              <w:bottom w:w="0" w:type="dxa"/>
            </w:tcMar>
            <w:vAlign w:val="center"/>
          </w:tcPr>
          <w:p w14:paraId="234ADDA9" w14:textId="369726B8" w:rsidR="00186078" w:rsidRPr="00185375" w:rsidRDefault="00186078" w:rsidP="00186078">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185375">
              <w:rPr>
                <w:rFonts w:ascii="Arial" w:hAnsi="Arial" w:cs="Arial"/>
                <w:color w:val="010000"/>
                <w:sz w:val="20"/>
              </w:rPr>
              <w:t>Item</w:t>
            </w:r>
          </w:p>
        </w:tc>
        <w:tc>
          <w:tcPr>
            <w:tcW w:w="1136" w:type="pct"/>
            <w:gridSpan w:val="2"/>
            <w:shd w:val="clear" w:color="auto" w:fill="auto"/>
            <w:tcMar>
              <w:top w:w="0" w:type="dxa"/>
              <w:bottom w:w="0" w:type="dxa"/>
            </w:tcMar>
            <w:vAlign w:val="center"/>
          </w:tcPr>
          <w:p w14:paraId="0033D1BE" w14:textId="36027CB2" w:rsidR="00186078" w:rsidRPr="00185375" w:rsidRDefault="00186078" w:rsidP="00186078">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185375">
              <w:rPr>
                <w:rFonts w:ascii="Arial" w:hAnsi="Arial" w:cs="Arial"/>
                <w:color w:val="010000"/>
                <w:sz w:val="20"/>
              </w:rPr>
              <w:t>2023 Results</w:t>
            </w:r>
          </w:p>
        </w:tc>
        <w:tc>
          <w:tcPr>
            <w:tcW w:w="1024" w:type="pct"/>
            <w:gridSpan w:val="2"/>
            <w:shd w:val="clear" w:color="auto" w:fill="auto"/>
            <w:tcMar>
              <w:top w:w="0" w:type="dxa"/>
              <w:bottom w:w="0" w:type="dxa"/>
            </w:tcMar>
            <w:vAlign w:val="center"/>
          </w:tcPr>
          <w:p w14:paraId="6BEA1414" w14:textId="4F275E0F" w:rsidR="00186078" w:rsidRPr="00185375" w:rsidRDefault="00186078" w:rsidP="00186078">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185375">
              <w:rPr>
                <w:rFonts w:ascii="Arial" w:hAnsi="Arial" w:cs="Arial"/>
                <w:color w:val="010000"/>
                <w:sz w:val="20"/>
              </w:rPr>
              <w:t>2023 Plan</w:t>
            </w:r>
          </w:p>
        </w:tc>
        <w:tc>
          <w:tcPr>
            <w:tcW w:w="1091" w:type="pct"/>
            <w:gridSpan w:val="2"/>
            <w:shd w:val="clear" w:color="auto" w:fill="auto"/>
            <w:tcMar>
              <w:top w:w="0" w:type="dxa"/>
              <w:bottom w:w="0" w:type="dxa"/>
            </w:tcMar>
            <w:vAlign w:val="center"/>
          </w:tcPr>
          <w:p w14:paraId="478CC1F5" w14:textId="5C19290C" w:rsidR="00186078" w:rsidRPr="00185375" w:rsidRDefault="00186078" w:rsidP="00186078">
            <w:pPr>
              <w:pBdr>
                <w:top w:val="nil"/>
                <w:left w:val="nil"/>
                <w:bottom w:val="nil"/>
                <w:right w:val="nil"/>
                <w:between w:val="nil"/>
              </w:pBdr>
              <w:tabs>
                <w:tab w:val="left" w:pos="432"/>
              </w:tabs>
              <w:spacing w:after="120" w:line="360" w:lineRule="auto"/>
              <w:jc w:val="center"/>
              <w:rPr>
                <w:rFonts w:ascii="Arial" w:hAnsi="Arial" w:cs="Arial"/>
                <w:color w:val="010000"/>
                <w:sz w:val="20"/>
              </w:rPr>
            </w:pPr>
            <w:r w:rsidRPr="00185375">
              <w:rPr>
                <w:rFonts w:ascii="Arial" w:hAnsi="Arial" w:cs="Arial"/>
                <w:color w:val="010000"/>
                <w:sz w:val="20"/>
              </w:rPr>
              <w:t>2022 Results</w:t>
            </w:r>
          </w:p>
        </w:tc>
      </w:tr>
      <w:tr w:rsidR="00186078" w:rsidRPr="00185375" w14:paraId="451AC625" w14:textId="77777777" w:rsidTr="00E33BB2">
        <w:tc>
          <w:tcPr>
            <w:tcW w:w="156" w:type="pct"/>
            <w:vMerge/>
            <w:shd w:val="clear" w:color="auto" w:fill="auto"/>
            <w:tcMar>
              <w:top w:w="0" w:type="dxa"/>
              <w:bottom w:w="0" w:type="dxa"/>
            </w:tcMar>
            <w:vAlign w:val="center"/>
          </w:tcPr>
          <w:p w14:paraId="24182B3A" w14:textId="77777777" w:rsidR="00186078" w:rsidRPr="00185375" w:rsidRDefault="00186078" w:rsidP="00186078">
            <w:pPr>
              <w:tabs>
                <w:tab w:val="left" w:pos="432"/>
              </w:tabs>
              <w:spacing w:after="120" w:line="360" w:lineRule="auto"/>
              <w:jc w:val="center"/>
              <w:rPr>
                <w:rFonts w:ascii="Arial" w:eastAsia="Arial" w:hAnsi="Arial" w:cs="Arial"/>
                <w:color w:val="010000"/>
                <w:sz w:val="20"/>
                <w:szCs w:val="20"/>
              </w:rPr>
            </w:pPr>
          </w:p>
        </w:tc>
        <w:tc>
          <w:tcPr>
            <w:tcW w:w="1592" w:type="pct"/>
            <w:vMerge/>
            <w:shd w:val="clear" w:color="auto" w:fill="auto"/>
            <w:tcMar>
              <w:top w:w="0" w:type="dxa"/>
              <w:bottom w:w="0" w:type="dxa"/>
            </w:tcMar>
            <w:vAlign w:val="center"/>
          </w:tcPr>
          <w:p w14:paraId="4E3F0797" w14:textId="56A5ED8D"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85" w:type="pct"/>
            <w:shd w:val="clear" w:color="auto" w:fill="auto"/>
            <w:tcMar>
              <w:top w:w="0" w:type="dxa"/>
              <w:bottom w:w="0" w:type="dxa"/>
            </w:tcMar>
            <w:vAlign w:val="center"/>
          </w:tcPr>
          <w:p w14:paraId="63131C8C" w14:textId="77777777"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Amount</w:t>
            </w:r>
          </w:p>
        </w:tc>
        <w:tc>
          <w:tcPr>
            <w:tcW w:w="551" w:type="pct"/>
            <w:shd w:val="clear" w:color="auto" w:fill="auto"/>
            <w:tcMar>
              <w:top w:w="0" w:type="dxa"/>
              <w:bottom w:w="0" w:type="dxa"/>
            </w:tcMar>
            <w:vAlign w:val="center"/>
          </w:tcPr>
          <w:p w14:paraId="6F3B07E4" w14:textId="77777777"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Rate</w:t>
            </w:r>
          </w:p>
        </w:tc>
        <w:tc>
          <w:tcPr>
            <w:tcW w:w="505" w:type="pct"/>
            <w:shd w:val="clear" w:color="auto" w:fill="auto"/>
            <w:tcMar>
              <w:top w:w="0" w:type="dxa"/>
              <w:bottom w:w="0" w:type="dxa"/>
            </w:tcMar>
            <w:vAlign w:val="center"/>
          </w:tcPr>
          <w:p w14:paraId="46AA9849" w14:textId="77777777"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Amount</w:t>
            </w:r>
          </w:p>
        </w:tc>
        <w:tc>
          <w:tcPr>
            <w:tcW w:w="519" w:type="pct"/>
            <w:shd w:val="clear" w:color="auto" w:fill="auto"/>
            <w:tcMar>
              <w:top w:w="0" w:type="dxa"/>
              <w:bottom w:w="0" w:type="dxa"/>
            </w:tcMar>
            <w:vAlign w:val="center"/>
          </w:tcPr>
          <w:p w14:paraId="19A0F613" w14:textId="77777777"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Compare to the Plan (%)</w:t>
            </w:r>
          </w:p>
        </w:tc>
        <w:tc>
          <w:tcPr>
            <w:tcW w:w="562" w:type="pct"/>
            <w:shd w:val="clear" w:color="auto" w:fill="auto"/>
            <w:tcMar>
              <w:top w:w="0" w:type="dxa"/>
              <w:bottom w:w="0" w:type="dxa"/>
            </w:tcMar>
            <w:vAlign w:val="center"/>
          </w:tcPr>
          <w:p w14:paraId="4F0CEA4D" w14:textId="77777777"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Amount</w:t>
            </w:r>
          </w:p>
        </w:tc>
        <w:tc>
          <w:tcPr>
            <w:tcW w:w="529" w:type="pct"/>
            <w:shd w:val="clear" w:color="auto" w:fill="auto"/>
            <w:tcMar>
              <w:top w:w="0" w:type="dxa"/>
              <w:bottom w:w="0" w:type="dxa"/>
            </w:tcMar>
            <w:vAlign w:val="center"/>
          </w:tcPr>
          <w:p w14:paraId="3D857D0A" w14:textId="4C489DB5" w:rsidR="00186078" w:rsidRPr="00185375" w:rsidRDefault="00186078" w:rsidP="001860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Compared to the Same period (%)</w:t>
            </w:r>
          </w:p>
        </w:tc>
      </w:tr>
      <w:tr w:rsidR="00112A52" w:rsidRPr="00185375" w14:paraId="56F89541" w14:textId="77777777" w:rsidTr="00E33BB2">
        <w:tc>
          <w:tcPr>
            <w:tcW w:w="156" w:type="pct"/>
            <w:shd w:val="clear" w:color="auto" w:fill="auto"/>
            <w:tcMar>
              <w:top w:w="0" w:type="dxa"/>
              <w:bottom w:w="0" w:type="dxa"/>
            </w:tcMar>
            <w:vAlign w:val="center"/>
          </w:tcPr>
          <w:p w14:paraId="2F30474B"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1592" w:type="pct"/>
            <w:shd w:val="clear" w:color="auto" w:fill="auto"/>
            <w:tcMar>
              <w:top w:w="0" w:type="dxa"/>
              <w:bottom w:w="0" w:type="dxa"/>
            </w:tcMar>
            <w:vAlign w:val="center"/>
          </w:tcPr>
          <w:p w14:paraId="6A2BD78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Revenue</w:t>
            </w:r>
          </w:p>
        </w:tc>
        <w:tc>
          <w:tcPr>
            <w:tcW w:w="585" w:type="pct"/>
            <w:shd w:val="clear" w:color="auto" w:fill="auto"/>
            <w:tcMar>
              <w:top w:w="0" w:type="dxa"/>
              <w:bottom w:w="0" w:type="dxa"/>
            </w:tcMar>
            <w:vAlign w:val="center"/>
          </w:tcPr>
          <w:p w14:paraId="2EF7E9E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186,001</w:t>
            </w:r>
          </w:p>
        </w:tc>
        <w:tc>
          <w:tcPr>
            <w:tcW w:w="551" w:type="pct"/>
            <w:shd w:val="clear" w:color="auto" w:fill="auto"/>
            <w:tcMar>
              <w:top w:w="0" w:type="dxa"/>
              <w:bottom w:w="0" w:type="dxa"/>
            </w:tcMar>
            <w:vAlign w:val="center"/>
          </w:tcPr>
          <w:p w14:paraId="77D4FB9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100%</w:t>
            </w:r>
          </w:p>
        </w:tc>
        <w:tc>
          <w:tcPr>
            <w:tcW w:w="505" w:type="pct"/>
            <w:shd w:val="clear" w:color="auto" w:fill="auto"/>
            <w:tcMar>
              <w:top w:w="0" w:type="dxa"/>
              <w:bottom w:w="0" w:type="dxa"/>
            </w:tcMar>
            <w:vAlign w:val="center"/>
          </w:tcPr>
          <w:p w14:paraId="40C3A97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287,160</w:t>
            </w:r>
          </w:p>
        </w:tc>
        <w:tc>
          <w:tcPr>
            <w:tcW w:w="519" w:type="pct"/>
            <w:shd w:val="clear" w:color="auto" w:fill="auto"/>
            <w:tcMar>
              <w:top w:w="0" w:type="dxa"/>
              <w:bottom w:w="0" w:type="dxa"/>
            </w:tcMar>
            <w:vAlign w:val="center"/>
          </w:tcPr>
          <w:p w14:paraId="2D481DB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65%</w:t>
            </w:r>
          </w:p>
        </w:tc>
        <w:tc>
          <w:tcPr>
            <w:tcW w:w="562" w:type="pct"/>
            <w:shd w:val="clear" w:color="auto" w:fill="auto"/>
            <w:tcMar>
              <w:top w:w="0" w:type="dxa"/>
              <w:bottom w:w="0" w:type="dxa"/>
            </w:tcMar>
            <w:vAlign w:val="center"/>
          </w:tcPr>
          <w:p w14:paraId="42A8716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187,419</w:t>
            </w:r>
          </w:p>
        </w:tc>
        <w:tc>
          <w:tcPr>
            <w:tcW w:w="529" w:type="pct"/>
            <w:shd w:val="clear" w:color="auto" w:fill="auto"/>
            <w:tcMar>
              <w:top w:w="0" w:type="dxa"/>
              <w:bottom w:w="0" w:type="dxa"/>
            </w:tcMar>
            <w:vAlign w:val="center"/>
          </w:tcPr>
          <w:p w14:paraId="5314908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6A26CDDE" w14:textId="77777777" w:rsidTr="00E33BB2">
        <w:tc>
          <w:tcPr>
            <w:tcW w:w="156" w:type="pct"/>
            <w:shd w:val="clear" w:color="auto" w:fill="auto"/>
            <w:tcMar>
              <w:top w:w="0" w:type="dxa"/>
              <w:bottom w:w="0" w:type="dxa"/>
            </w:tcMar>
            <w:vAlign w:val="center"/>
          </w:tcPr>
          <w:p w14:paraId="1982CA23"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49916D4B"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Commerce</w:t>
            </w:r>
          </w:p>
        </w:tc>
        <w:tc>
          <w:tcPr>
            <w:tcW w:w="585" w:type="pct"/>
            <w:shd w:val="clear" w:color="auto" w:fill="auto"/>
            <w:tcMar>
              <w:top w:w="0" w:type="dxa"/>
              <w:bottom w:w="0" w:type="dxa"/>
            </w:tcMar>
            <w:vAlign w:val="center"/>
          </w:tcPr>
          <w:p w14:paraId="6B1AA22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85,427</w:t>
            </w:r>
          </w:p>
        </w:tc>
        <w:tc>
          <w:tcPr>
            <w:tcW w:w="551" w:type="pct"/>
            <w:shd w:val="clear" w:color="auto" w:fill="auto"/>
            <w:tcMar>
              <w:top w:w="0" w:type="dxa"/>
              <w:bottom w:w="0" w:type="dxa"/>
            </w:tcMar>
            <w:vAlign w:val="center"/>
          </w:tcPr>
          <w:p w14:paraId="77CB65B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46%</w:t>
            </w:r>
          </w:p>
        </w:tc>
        <w:tc>
          <w:tcPr>
            <w:tcW w:w="505" w:type="pct"/>
            <w:shd w:val="clear" w:color="auto" w:fill="auto"/>
            <w:tcMar>
              <w:top w:w="0" w:type="dxa"/>
              <w:bottom w:w="0" w:type="dxa"/>
            </w:tcMar>
            <w:vAlign w:val="center"/>
          </w:tcPr>
          <w:p w14:paraId="510A1C7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104,969</w:t>
            </w:r>
          </w:p>
        </w:tc>
        <w:tc>
          <w:tcPr>
            <w:tcW w:w="519" w:type="pct"/>
            <w:shd w:val="clear" w:color="auto" w:fill="auto"/>
            <w:tcMar>
              <w:top w:w="0" w:type="dxa"/>
              <w:bottom w:w="0" w:type="dxa"/>
            </w:tcMar>
            <w:vAlign w:val="center"/>
          </w:tcPr>
          <w:p w14:paraId="0BF3966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81%</w:t>
            </w:r>
          </w:p>
        </w:tc>
        <w:tc>
          <w:tcPr>
            <w:tcW w:w="562" w:type="pct"/>
            <w:shd w:val="clear" w:color="auto" w:fill="auto"/>
            <w:tcMar>
              <w:top w:w="0" w:type="dxa"/>
              <w:bottom w:w="0" w:type="dxa"/>
            </w:tcMar>
            <w:vAlign w:val="center"/>
          </w:tcPr>
          <w:p w14:paraId="1ADD4FE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87,758</w:t>
            </w:r>
          </w:p>
        </w:tc>
        <w:tc>
          <w:tcPr>
            <w:tcW w:w="529" w:type="pct"/>
            <w:shd w:val="clear" w:color="auto" w:fill="auto"/>
            <w:tcMar>
              <w:top w:w="0" w:type="dxa"/>
              <w:bottom w:w="0" w:type="dxa"/>
            </w:tcMar>
            <w:vAlign w:val="center"/>
          </w:tcPr>
          <w:p w14:paraId="374EEEA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w:t>
            </w:r>
          </w:p>
        </w:tc>
      </w:tr>
      <w:tr w:rsidR="00112A52" w:rsidRPr="00185375" w14:paraId="6A2EA3CA" w14:textId="77777777" w:rsidTr="00E33BB2">
        <w:tc>
          <w:tcPr>
            <w:tcW w:w="156" w:type="pct"/>
            <w:shd w:val="clear" w:color="auto" w:fill="auto"/>
            <w:tcMar>
              <w:top w:w="0" w:type="dxa"/>
              <w:bottom w:w="0" w:type="dxa"/>
            </w:tcMar>
            <w:vAlign w:val="center"/>
          </w:tcPr>
          <w:p w14:paraId="6DB49CE1"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44F35EC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Production</w:t>
            </w:r>
          </w:p>
        </w:tc>
        <w:tc>
          <w:tcPr>
            <w:tcW w:w="585" w:type="pct"/>
            <w:shd w:val="clear" w:color="auto" w:fill="auto"/>
            <w:tcMar>
              <w:top w:w="0" w:type="dxa"/>
              <w:bottom w:w="0" w:type="dxa"/>
            </w:tcMar>
            <w:vAlign w:val="center"/>
          </w:tcPr>
          <w:p w14:paraId="47878F4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98,077</w:t>
            </w:r>
          </w:p>
        </w:tc>
        <w:tc>
          <w:tcPr>
            <w:tcW w:w="551" w:type="pct"/>
            <w:shd w:val="clear" w:color="auto" w:fill="auto"/>
            <w:tcMar>
              <w:top w:w="0" w:type="dxa"/>
              <w:bottom w:w="0" w:type="dxa"/>
            </w:tcMar>
            <w:vAlign w:val="center"/>
          </w:tcPr>
          <w:p w14:paraId="3691276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53%</w:t>
            </w:r>
          </w:p>
        </w:tc>
        <w:tc>
          <w:tcPr>
            <w:tcW w:w="505" w:type="pct"/>
            <w:shd w:val="clear" w:color="auto" w:fill="auto"/>
            <w:tcMar>
              <w:top w:w="0" w:type="dxa"/>
              <w:bottom w:w="0" w:type="dxa"/>
            </w:tcMar>
            <w:vAlign w:val="center"/>
          </w:tcPr>
          <w:p w14:paraId="79A0AD18"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180,031</w:t>
            </w:r>
          </w:p>
        </w:tc>
        <w:tc>
          <w:tcPr>
            <w:tcW w:w="519" w:type="pct"/>
            <w:shd w:val="clear" w:color="auto" w:fill="auto"/>
            <w:tcMar>
              <w:top w:w="0" w:type="dxa"/>
              <w:bottom w:w="0" w:type="dxa"/>
            </w:tcMar>
            <w:vAlign w:val="center"/>
          </w:tcPr>
          <w:p w14:paraId="241D716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54%</w:t>
            </w:r>
          </w:p>
        </w:tc>
        <w:tc>
          <w:tcPr>
            <w:tcW w:w="562" w:type="pct"/>
            <w:shd w:val="clear" w:color="auto" w:fill="auto"/>
            <w:tcMar>
              <w:top w:w="0" w:type="dxa"/>
              <w:bottom w:w="0" w:type="dxa"/>
            </w:tcMar>
            <w:vAlign w:val="center"/>
          </w:tcPr>
          <w:p w14:paraId="18941D5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97,277</w:t>
            </w:r>
          </w:p>
        </w:tc>
        <w:tc>
          <w:tcPr>
            <w:tcW w:w="529" w:type="pct"/>
            <w:shd w:val="clear" w:color="auto" w:fill="auto"/>
            <w:tcMar>
              <w:top w:w="0" w:type="dxa"/>
              <w:bottom w:w="0" w:type="dxa"/>
            </w:tcMar>
            <w:vAlign w:val="center"/>
          </w:tcPr>
          <w:p w14:paraId="053555F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1A05FB0B" w14:textId="77777777" w:rsidTr="00E33BB2">
        <w:tc>
          <w:tcPr>
            <w:tcW w:w="156" w:type="pct"/>
            <w:shd w:val="clear" w:color="auto" w:fill="auto"/>
            <w:tcMar>
              <w:top w:w="0" w:type="dxa"/>
              <w:bottom w:w="0" w:type="dxa"/>
            </w:tcMar>
            <w:vAlign w:val="center"/>
          </w:tcPr>
          <w:p w14:paraId="1A4E60CA"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4BE3E82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Others</w:t>
            </w:r>
          </w:p>
        </w:tc>
        <w:tc>
          <w:tcPr>
            <w:tcW w:w="585" w:type="pct"/>
            <w:shd w:val="clear" w:color="auto" w:fill="auto"/>
            <w:tcMar>
              <w:top w:w="0" w:type="dxa"/>
              <w:bottom w:w="0" w:type="dxa"/>
            </w:tcMar>
            <w:vAlign w:val="center"/>
          </w:tcPr>
          <w:p w14:paraId="014DA73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2,497</w:t>
            </w:r>
          </w:p>
        </w:tc>
        <w:tc>
          <w:tcPr>
            <w:tcW w:w="551" w:type="pct"/>
            <w:shd w:val="clear" w:color="auto" w:fill="auto"/>
            <w:tcMar>
              <w:top w:w="0" w:type="dxa"/>
              <w:bottom w:w="0" w:type="dxa"/>
            </w:tcMar>
            <w:vAlign w:val="center"/>
          </w:tcPr>
          <w:p w14:paraId="1B149F4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c>
          <w:tcPr>
            <w:tcW w:w="505" w:type="pct"/>
            <w:shd w:val="clear" w:color="auto" w:fill="auto"/>
            <w:tcMar>
              <w:top w:w="0" w:type="dxa"/>
              <w:bottom w:w="0" w:type="dxa"/>
            </w:tcMar>
            <w:vAlign w:val="center"/>
          </w:tcPr>
          <w:p w14:paraId="0130414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2,160</w:t>
            </w:r>
          </w:p>
        </w:tc>
        <w:tc>
          <w:tcPr>
            <w:tcW w:w="519" w:type="pct"/>
            <w:shd w:val="clear" w:color="auto" w:fill="auto"/>
            <w:tcMar>
              <w:top w:w="0" w:type="dxa"/>
              <w:bottom w:w="0" w:type="dxa"/>
            </w:tcMar>
            <w:vAlign w:val="center"/>
          </w:tcPr>
          <w:p w14:paraId="3344891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116%</w:t>
            </w:r>
          </w:p>
        </w:tc>
        <w:tc>
          <w:tcPr>
            <w:tcW w:w="562" w:type="pct"/>
            <w:shd w:val="clear" w:color="auto" w:fill="auto"/>
            <w:tcMar>
              <w:top w:w="0" w:type="dxa"/>
              <w:bottom w:w="0" w:type="dxa"/>
            </w:tcMar>
            <w:vAlign w:val="center"/>
          </w:tcPr>
          <w:p w14:paraId="674BD5B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2,383</w:t>
            </w:r>
          </w:p>
        </w:tc>
        <w:tc>
          <w:tcPr>
            <w:tcW w:w="529" w:type="pct"/>
            <w:shd w:val="clear" w:color="auto" w:fill="auto"/>
            <w:tcMar>
              <w:top w:w="0" w:type="dxa"/>
              <w:bottom w:w="0" w:type="dxa"/>
            </w:tcMar>
            <w:vAlign w:val="center"/>
          </w:tcPr>
          <w:p w14:paraId="63539EF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w:t>
            </w:r>
          </w:p>
        </w:tc>
      </w:tr>
      <w:tr w:rsidR="00112A52" w:rsidRPr="00185375" w14:paraId="160996ED" w14:textId="77777777" w:rsidTr="00E33BB2">
        <w:tc>
          <w:tcPr>
            <w:tcW w:w="156" w:type="pct"/>
            <w:shd w:val="clear" w:color="auto" w:fill="auto"/>
            <w:tcMar>
              <w:top w:w="0" w:type="dxa"/>
              <w:bottom w:w="0" w:type="dxa"/>
            </w:tcMar>
            <w:vAlign w:val="center"/>
          </w:tcPr>
          <w:p w14:paraId="727C86E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1592" w:type="pct"/>
            <w:shd w:val="clear" w:color="auto" w:fill="auto"/>
            <w:tcMar>
              <w:top w:w="0" w:type="dxa"/>
              <w:bottom w:w="0" w:type="dxa"/>
            </w:tcMar>
            <w:vAlign w:val="center"/>
          </w:tcPr>
          <w:p w14:paraId="2E4FFE5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Gross profit</w:t>
            </w:r>
          </w:p>
        </w:tc>
        <w:tc>
          <w:tcPr>
            <w:tcW w:w="585" w:type="pct"/>
            <w:shd w:val="clear" w:color="auto" w:fill="auto"/>
            <w:tcMar>
              <w:top w:w="0" w:type="dxa"/>
              <w:bottom w:w="0" w:type="dxa"/>
            </w:tcMar>
            <w:vAlign w:val="center"/>
          </w:tcPr>
          <w:p w14:paraId="4DDD594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37,166</w:t>
            </w:r>
          </w:p>
        </w:tc>
        <w:tc>
          <w:tcPr>
            <w:tcW w:w="551" w:type="pct"/>
            <w:shd w:val="clear" w:color="auto" w:fill="auto"/>
            <w:tcMar>
              <w:top w:w="0" w:type="dxa"/>
              <w:bottom w:w="0" w:type="dxa"/>
            </w:tcMar>
            <w:vAlign w:val="center"/>
          </w:tcPr>
          <w:p w14:paraId="3FB5B99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w:t>
            </w:r>
          </w:p>
        </w:tc>
        <w:tc>
          <w:tcPr>
            <w:tcW w:w="505" w:type="pct"/>
            <w:shd w:val="clear" w:color="auto" w:fill="auto"/>
            <w:tcMar>
              <w:top w:w="0" w:type="dxa"/>
              <w:bottom w:w="0" w:type="dxa"/>
            </w:tcMar>
            <w:vAlign w:val="center"/>
          </w:tcPr>
          <w:p w14:paraId="399D27A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64,521</w:t>
            </w:r>
          </w:p>
        </w:tc>
        <w:tc>
          <w:tcPr>
            <w:tcW w:w="519" w:type="pct"/>
            <w:shd w:val="clear" w:color="auto" w:fill="auto"/>
            <w:tcMar>
              <w:top w:w="0" w:type="dxa"/>
              <w:bottom w:w="0" w:type="dxa"/>
            </w:tcMar>
            <w:vAlign w:val="center"/>
          </w:tcPr>
          <w:p w14:paraId="5D05FC3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58%</w:t>
            </w:r>
          </w:p>
        </w:tc>
        <w:tc>
          <w:tcPr>
            <w:tcW w:w="562" w:type="pct"/>
            <w:shd w:val="clear" w:color="auto" w:fill="auto"/>
            <w:tcMar>
              <w:top w:w="0" w:type="dxa"/>
              <w:bottom w:w="0" w:type="dxa"/>
            </w:tcMar>
            <w:vAlign w:val="center"/>
          </w:tcPr>
          <w:p w14:paraId="49A8C03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36,735</w:t>
            </w:r>
          </w:p>
        </w:tc>
        <w:tc>
          <w:tcPr>
            <w:tcW w:w="529" w:type="pct"/>
            <w:shd w:val="clear" w:color="auto" w:fill="auto"/>
            <w:tcMar>
              <w:top w:w="0" w:type="dxa"/>
              <w:bottom w:w="0" w:type="dxa"/>
            </w:tcMar>
            <w:vAlign w:val="center"/>
          </w:tcPr>
          <w:p w14:paraId="69E1C9D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288C74EB" w14:textId="77777777" w:rsidTr="00E33BB2">
        <w:tc>
          <w:tcPr>
            <w:tcW w:w="156" w:type="pct"/>
            <w:shd w:val="clear" w:color="auto" w:fill="auto"/>
            <w:tcMar>
              <w:top w:w="0" w:type="dxa"/>
              <w:bottom w:w="0" w:type="dxa"/>
            </w:tcMar>
            <w:vAlign w:val="center"/>
          </w:tcPr>
          <w:p w14:paraId="08EFB6B3"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6F40B82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Commerce</w:t>
            </w:r>
          </w:p>
        </w:tc>
        <w:tc>
          <w:tcPr>
            <w:tcW w:w="585" w:type="pct"/>
            <w:shd w:val="clear" w:color="auto" w:fill="auto"/>
            <w:tcMar>
              <w:top w:w="0" w:type="dxa"/>
              <w:bottom w:w="0" w:type="dxa"/>
            </w:tcMar>
            <w:vAlign w:val="center"/>
          </w:tcPr>
          <w:p w14:paraId="20E4D8A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4,787</w:t>
            </w:r>
          </w:p>
        </w:tc>
        <w:tc>
          <w:tcPr>
            <w:tcW w:w="551" w:type="pct"/>
            <w:shd w:val="clear" w:color="auto" w:fill="auto"/>
            <w:tcMar>
              <w:top w:w="0" w:type="dxa"/>
              <w:bottom w:w="0" w:type="dxa"/>
            </w:tcMar>
            <w:vAlign w:val="center"/>
          </w:tcPr>
          <w:p w14:paraId="0658528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w:t>
            </w:r>
          </w:p>
        </w:tc>
        <w:tc>
          <w:tcPr>
            <w:tcW w:w="505" w:type="pct"/>
            <w:shd w:val="clear" w:color="auto" w:fill="auto"/>
            <w:tcMar>
              <w:top w:w="0" w:type="dxa"/>
              <w:bottom w:w="0" w:type="dxa"/>
            </w:tcMar>
            <w:vAlign w:val="center"/>
          </w:tcPr>
          <w:p w14:paraId="05624F4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7,079</w:t>
            </w:r>
          </w:p>
        </w:tc>
        <w:tc>
          <w:tcPr>
            <w:tcW w:w="519" w:type="pct"/>
            <w:shd w:val="clear" w:color="auto" w:fill="auto"/>
            <w:tcMar>
              <w:top w:w="0" w:type="dxa"/>
              <w:bottom w:w="0" w:type="dxa"/>
            </w:tcMar>
            <w:vAlign w:val="center"/>
          </w:tcPr>
          <w:p w14:paraId="2786EDB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68%</w:t>
            </w:r>
          </w:p>
        </w:tc>
        <w:tc>
          <w:tcPr>
            <w:tcW w:w="562" w:type="pct"/>
            <w:shd w:val="clear" w:color="auto" w:fill="auto"/>
            <w:tcMar>
              <w:top w:w="0" w:type="dxa"/>
              <w:bottom w:w="0" w:type="dxa"/>
            </w:tcMar>
            <w:vAlign w:val="center"/>
          </w:tcPr>
          <w:p w14:paraId="7E5975E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5,486</w:t>
            </w:r>
          </w:p>
        </w:tc>
        <w:tc>
          <w:tcPr>
            <w:tcW w:w="529" w:type="pct"/>
            <w:shd w:val="clear" w:color="auto" w:fill="auto"/>
            <w:tcMar>
              <w:top w:w="0" w:type="dxa"/>
              <w:bottom w:w="0" w:type="dxa"/>
            </w:tcMar>
            <w:vAlign w:val="center"/>
          </w:tcPr>
          <w:p w14:paraId="490D915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-13%</w:t>
            </w:r>
          </w:p>
        </w:tc>
      </w:tr>
      <w:tr w:rsidR="00112A52" w:rsidRPr="00185375" w14:paraId="6C812562" w14:textId="77777777" w:rsidTr="00E33BB2">
        <w:tc>
          <w:tcPr>
            <w:tcW w:w="156" w:type="pct"/>
            <w:shd w:val="clear" w:color="auto" w:fill="auto"/>
            <w:tcMar>
              <w:top w:w="0" w:type="dxa"/>
              <w:bottom w:w="0" w:type="dxa"/>
            </w:tcMar>
            <w:vAlign w:val="center"/>
          </w:tcPr>
          <w:p w14:paraId="2F6E2075"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2EDFEE1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Production</w:t>
            </w:r>
          </w:p>
        </w:tc>
        <w:tc>
          <w:tcPr>
            <w:tcW w:w="585" w:type="pct"/>
            <w:shd w:val="clear" w:color="auto" w:fill="auto"/>
            <w:tcMar>
              <w:top w:w="0" w:type="dxa"/>
              <w:bottom w:w="0" w:type="dxa"/>
            </w:tcMar>
            <w:vAlign w:val="center"/>
          </w:tcPr>
          <w:p w14:paraId="5FBE9E8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29,991</w:t>
            </w:r>
          </w:p>
        </w:tc>
        <w:tc>
          <w:tcPr>
            <w:tcW w:w="551" w:type="pct"/>
            <w:shd w:val="clear" w:color="auto" w:fill="auto"/>
            <w:tcMar>
              <w:top w:w="0" w:type="dxa"/>
              <w:bottom w:w="0" w:type="dxa"/>
            </w:tcMar>
            <w:vAlign w:val="center"/>
          </w:tcPr>
          <w:p w14:paraId="2ED5AD7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16%</w:t>
            </w:r>
          </w:p>
        </w:tc>
        <w:tc>
          <w:tcPr>
            <w:tcW w:w="505" w:type="pct"/>
            <w:shd w:val="clear" w:color="auto" w:fill="auto"/>
            <w:tcMar>
              <w:top w:w="0" w:type="dxa"/>
              <w:bottom w:w="0" w:type="dxa"/>
            </w:tcMar>
            <w:vAlign w:val="center"/>
          </w:tcPr>
          <w:p w14:paraId="566D709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55,391</w:t>
            </w:r>
          </w:p>
        </w:tc>
        <w:tc>
          <w:tcPr>
            <w:tcW w:w="519" w:type="pct"/>
            <w:shd w:val="clear" w:color="auto" w:fill="auto"/>
            <w:tcMar>
              <w:top w:w="0" w:type="dxa"/>
              <w:bottom w:w="0" w:type="dxa"/>
            </w:tcMar>
            <w:vAlign w:val="center"/>
          </w:tcPr>
          <w:p w14:paraId="3F847AE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54%</w:t>
            </w:r>
          </w:p>
        </w:tc>
        <w:tc>
          <w:tcPr>
            <w:tcW w:w="562" w:type="pct"/>
            <w:shd w:val="clear" w:color="auto" w:fill="auto"/>
            <w:tcMar>
              <w:top w:w="0" w:type="dxa"/>
              <w:bottom w:w="0" w:type="dxa"/>
            </w:tcMar>
            <w:vAlign w:val="center"/>
          </w:tcPr>
          <w:p w14:paraId="586C2FB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28,975</w:t>
            </w:r>
          </w:p>
        </w:tc>
        <w:tc>
          <w:tcPr>
            <w:tcW w:w="529" w:type="pct"/>
            <w:shd w:val="clear" w:color="auto" w:fill="auto"/>
            <w:tcMar>
              <w:top w:w="0" w:type="dxa"/>
              <w:bottom w:w="0" w:type="dxa"/>
            </w:tcMar>
            <w:vAlign w:val="center"/>
          </w:tcPr>
          <w:p w14:paraId="4970192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w:t>
            </w:r>
          </w:p>
        </w:tc>
      </w:tr>
      <w:tr w:rsidR="00112A52" w:rsidRPr="00185375" w14:paraId="20518031" w14:textId="77777777" w:rsidTr="00E33BB2">
        <w:tc>
          <w:tcPr>
            <w:tcW w:w="156" w:type="pct"/>
            <w:shd w:val="clear" w:color="auto" w:fill="auto"/>
            <w:tcMar>
              <w:top w:w="0" w:type="dxa"/>
              <w:bottom w:w="0" w:type="dxa"/>
            </w:tcMar>
            <w:vAlign w:val="center"/>
          </w:tcPr>
          <w:p w14:paraId="3184205B"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34DA115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Others</w:t>
            </w:r>
          </w:p>
        </w:tc>
        <w:tc>
          <w:tcPr>
            <w:tcW w:w="585" w:type="pct"/>
            <w:shd w:val="clear" w:color="auto" w:fill="auto"/>
            <w:tcMar>
              <w:top w:w="0" w:type="dxa"/>
              <w:bottom w:w="0" w:type="dxa"/>
            </w:tcMar>
            <w:vAlign w:val="center"/>
          </w:tcPr>
          <w:p w14:paraId="2CD8C92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2,388</w:t>
            </w:r>
          </w:p>
        </w:tc>
        <w:tc>
          <w:tcPr>
            <w:tcW w:w="551" w:type="pct"/>
            <w:shd w:val="clear" w:color="auto" w:fill="auto"/>
            <w:tcMar>
              <w:top w:w="0" w:type="dxa"/>
              <w:bottom w:w="0" w:type="dxa"/>
            </w:tcMar>
            <w:vAlign w:val="center"/>
          </w:tcPr>
          <w:p w14:paraId="13A9584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c>
          <w:tcPr>
            <w:tcW w:w="505" w:type="pct"/>
            <w:shd w:val="clear" w:color="auto" w:fill="auto"/>
            <w:tcMar>
              <w:top w:w="0" w:type="dxa"/>
              <w:bottom w:w="0" w:type="dxa"/>
            </w:tcMar>
            <w:vAlign w:val="center"/>
          </w:tcPr>
          <w:p w14:paraId="62AD3CD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2,051</w:t>
            </w:r>
          </w:p>
        </w:tc>
        <w:tc>
          <w:tcPr>
            <w:tcW w:w="519" w:type="pct"/>
            <w:shd w:val="clear" w:color="auto" w:fill="auto"/>
            <w:tcMar>
              <w:top w:w="0" w:type="dxa"/>
              <w:bottom w:w="0" w:type="dxa"/>
            </w:tcMar>
            <w:vAlign w:val="center"/>
          </w:tcPr>
          <w:p w14:paraId="2B04E1A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116%</w:t>
            </w:r>
          </w:p>
        </w:tc>
        <w:tc>
          <w:tcPr>
            <w:tcW w:w="562" w:type="pct"/>
            <w:shd w:val="clear" w:color="auto" w:fill="auto"/>
            <w:tcMar>
              <w:top w:w="0" w:type="dxa"/>
              <w:bottom w:w="0" w:type="dxa"/>
            </w:tcMar>
            <w:vAlign w:val="center"/>
          </w:tcPr>
          <w:p w14:paraId="75515E5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2,274</w:t>
            </w:r>
          </w:p>
        </w:tc>
        <w:tc>
          <w:tcPr>
            <w:tcW w:w="529" w:type="pct"/>
            <w:shd w:val="clear" w:color="auto" w:fill="auto"/>
            <w:tcMar>
              <w:top w:w="0" w:type="dxa"/>
              <w:bottom w:w="0" w:type="dxa"/>
            </w:tcMar>
            <w:vAlign w:val="center"/>
          </w:tcPr>
          <w:p w14:paraId="4D9D22EB"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w:t>
            </w:r>
          </w:p>
        </w:tc>
      </w:tr>
      <w:tr w:rsidR="00112A52" w:rsidRPr="00185375" w14:paraId="533C6638" w14:textId="77777777" w:rsidTr="00E33BB2">
        <w:tc>
          <w:tcPr>
            <w:tcW w:w="156" w:type="pct"/>
            <w:shd w:val="clear" w:color="auto" w:fill="auto"/>
            <w:tcMar>
              <w:top w:w="0" w:type="dxa"/>
              <w:bottom w:w="0" w:type="dxa"/>
            </w:tcMar>
            <w:vAlign w:val="center"/>
          </w:tcPr>
          <w:p w14:paraId="71AFA413"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7A3669A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Gross profit/Revenue (%)</w:t>
            </w:r>
          </w:p>
        </w:tc>
        <w:tc>
          <w:tcPr>
            <w:tcW w:w="585" w:type="pct"/>
            <w:shd w:val="clear" w:color="auto" w:fill="auto"/>
            <w:tcMar>
              <w:top w:w="0" w:type="dxa"/>
              <w:bottom w:w="0" w:type="dxa"/>
            </w:tcMar>
            <w:vAlign w:val="center"/>
          </w:tcPr>
          <w:p w14:paraId="14803C8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w:t>
            </w:r>
          </w:p>
        </w:tc>
        <w:tc>
          <w:tcPr>
            <w:tcW w:w="551" w:type="pct"/>
            <w:shd w:val="clear" w:color="auto" w:fill="auto"/>
            <w:tcMar>
              <w:top w:w="0" w:type="dxa"/>
              <w:bottom w:w="0" w:type="dxa"/>
            </w:tcMar>
            <w:vAlign w:val="center"/>
          </w:tcPr>
          <w:p w14:paraId="169DFF0D"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c>
          <w:tcPr>
            <w:tcW w:w="505" w:type="pct"/>
            <w:shd w:val="clear" w:color="auto" w:fill="auto"/>
            <w:tcMar>
              <w:top w:w="0" w:type="dxa"/>
              <w:bottom w:w="0" w:type="dxa"/>
            </w:tcMar>
            <w:vAlign w:val="center"/>
          </w:tcPr>
          <w:p w14:paraId="464E559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22%</w:t>
            </w:r>
          </w:p>
        </w:tc>
        <w:tc>
          <w:tcPr>
            <w:tcW w:w="519" w:type="pct"/>
            <w:shd w:val="clear" w:color="auto" w:fill="auto"/>
            <w:tcMar>
              <w:top w:w="0" w:type="dxa"/>
              <w:bottom w:w="0" w:type="dxa"/>
            </w:tcMar>
            <w:vAlign w:val="center"/>
          </w:tcPr>
          <w:p w14:paraId="463545DC"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c>
          <w:tcPr>
            <w:tcW w:w="562" w:type="pct"/>
            <w:shd w:val="clear" w:color="auto" w:fill="auto"/>
            <w:tcMar>
              <w:top w:w="0" w:type="dxa"/>
              <w:bottom w:w="0" w:type="dxa"/>
            </w:tcMar>
            <w:vAlign w:val="center"/>
          </w:tcPr>
          <w:p w14:paraId="04C5ECE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w:t>
            </w:r>
          </w:p>
        </w:tc>
        <w:tc>
          <w:tcPr>
            <w:tcW w:w="529" w:type="pct"/>
            <w:shd w:val="clear" w:color="auto" w:fill="auto"/>
            <w:tcMar>
              <w:top w:w="0" w:type="dxa"/>
              <w:bottom w:w="0" w:type="dxa"/>
            </w:tcMar>
            <w:vAlign w:val="center"/>
          </w:tcPr>
          <w:p w14:paraId="381D330E"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r>
      <w:tr w:rsidR="00112A52" w:rsidRPr="00185375" w14:paraId="59E3C083" w14:textId="77777777" w:rsidTr="00E33BB2">
        <w:tc>
          <w:tcPr>
            <w:tcW w:w="156" w:type="pct"/>
            <w:shd w:val="clear" w:color="auto" w:fill="auto"/>
            <w:tcMar>
              <w:top w:w="0" w:type="dxa"/>
              <w:bottom w:w="0" w:type="dxa"/>
            </w:tcMar>
            <w:vAlign w:val="center"/>
          </w:tcPr>
          <w:p w14:paraId="4F2A4CC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1592" w:type="pct"/>
            <w:shd w:val="clear" w:color="auto" w:fill="auto"/>
            <w:tcMar>
              <w:top w:w="0" w:type="dxa"/>
              <w:bottom w:w="0" w:type="dxa"/>
            </w:tcMar>
            <w:vAlign w:val="center"/>
          </w:tcPr>
          <w:p w14:paraId="24D077B7"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Operating expenses</w:t>
            </w:r>
          </w:p>
        </w:tc>
        <w:tc>
          <w:tcPr>
            <w:tcW w:w="585" w:type="pct"/>
            <w:shd w:val="clear" w:color="auto" w:fill="auto"/>
            <w:tcMar>
              <w:top w:w="0" w:type="dxa"/>
              <w:bottom w:w="0" w:type="dxa"/>
            </w:tcMar>
            <w:vAlign w:val="center"/>
          </w:tcPr>
          <w:p w14:paraId="6C8D5FE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56,522</w:t>
            </w:r>
          </w:p>
        </w:tc>
        <w:tc>
          <w:tcPr>
            <w:tcW w:w="551" w:type="pct"/>
            <w:shd w:val="clear" w:color="auto" w:fill="auto"/>
            <w:tcMar>
              <w:top w:w="0" w:type="dxa"/>
              <w:bottom w:w="0" w:type="dxa"/>
            </w:tcMar>
            <w:vAlign w:val="center"/>
          </w:tcPr>
          <w:p w14:paraId="06A4F22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30%</w:t>
            </w:r>
          </w:p>
        </w:tc>
        <w:tc>
          <w:tcPr>
            <w:tcW w:w="505" w:type="pct"/>
            <w:shd w:val="clear" w:color="auto" w:fill="auto"/>
            <w:tcMar>
              <w:top w:w="0" w:type="dxa"/>
              <w:bottom w:w="0" w:type="dxa"/>
            </w:tcMar>
            <w:vAlign w:val="center"/>
          </w:tcPr>
          <w:p w14:paraId="00EA250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63,971</w:t>
            </w:r>
          </w:p>
        </w:tc>
        <w:tc>
          <w:tcPr>
            <w:tcW w:w="519" w:type="pct"/>
            <w:shd w:val="clear" w:color="auto" w:fill="auto"/>
            <w:tcMar>
              <w:top w:w="0" w:type="dxa"/>
              <w:bottom w:w="0" w:type="dxa"/>
            </w:tcMar>
            <w:vAlign w:val="center"/>
          </w:tcPr>
          <w:p w14:paraId="319B17C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88%</w:t>
            </w:r>
          </w:p>
        </w:tc>
        <w:tc>
          <w:tcPr>
            <w:tcW w:w="562" w:type="pct"/>
            <w:shd w:val="clear" w:color="auto" w:fill="auto"/>
            <w:tcMar>
              <w:top w:w="0" w:type="dxa"/>
              <w:bottom w:w="0" w:type="dxa"/>
            </w:tcMar>
            <w:vAlign w:val="center"/>
          </w:tcPr>
          <w:p w14:paraId="25EBAA1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70,094</w:t>
            </w:r>
          </w:p>
        </w:tc>
        <w:tc>
          <w:tcPr>
            <w:tcW w:w="529" w:type="pct"/>
            <w:shd w:val="clear" w:color="auto" w:fill="auto"/>
            <w:tcMar>
              <w:top w:w="0" w:type="dxa"/>
              <w:bottom w:w="0" w:type="dxa"/>
            </w:tcMar>
            <w:vAlign w:val="center"/>
          </w:tcPr>
          <w:p w14:paraId="5CE8612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-19%</w:t>
            </w:r>
          </w:p>
        </w:tc>
      </w:tr>
      <w:tr w:rsidR="00112A52" w:rsidRPr="00185375" w14:paraId="311CF89A" w14:textId="77777777" w:rsidTr="00E33BB2">
        <w:tc>
          <w:tcPr>
            <w:tcW w:w="156" w:type="pct"/>
            <w:shd w:val="clear" w:color="auto" w:fill="auto"/>
            <w:tcMar>
              <w:top w:w="0" w:type="dxa"/>
              <w:bottom w:w="0" w:type="dxa"/>
            </w:tcMar>
            <w:vAlign w:val="center"/>
          </w:tcPr>
          <w:p w14:paraId="115D51B0"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4</w:t>
            </w:r>
          </w:p>
        </w:tc>
        <w:tc>
          <w:tcPr>
            <w:tcW w:w="1592" w:type="pct"/>
            <w:shd w:val="clear" w:color="auto" w:fill="auto"/>
            <w:tcMar>
              <w:top w:w="0" w:type="dxa"/>
              <w:bottom w:w="0" w:type="dxa"/>
            </w:tcMar>
            <w:vAlign w:val="center"/>
          </w:tcPr>
          <w:p w14:paraId="4413763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Other incomes/(Other expenses)</w:t>
            </w:r>
          </w:p>
        </w:tc>
        <w:tc>
          <w:tcPr>
            <w:tcW w:w="585" w:type="pct"/>
            <w:shd w:val="clear" w:color="auto" w:fill="auto"/>
            <w:tcMar>
              <w:top w:w="0" w:type="dxa"/>
              <w:bottom w:w="0" w:type="dxa"/>
            </w:tcMar>
            <w:vAlign w:val="center"/>
          </w:tcPr>
          <w:p w14:paraId="39AB45C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(737)</w:t>
            </w:r>
          </w:p>
        </w:tc>
        <w:tc>
          <w:tcPr>
            <w:tcW w:w="551" w:type="pct"/>
            <w:shd w:val="clear" w:color="auto" w:fill="auto"/>
            <w:tcMar>
              <w:top w:w="0" w:type="dxa"/>
              <w:bottom w:w="0" w:type="dxa"/>
            </w:tcMar>
            <w:vAlign w:val="center"/>
          </w:tcPr>
          <w:p w14:paraId="7AA060F8"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w:t>
            </w:r>
          </w:p>
        </w:tc>
        <w:tc>
          <w:tcPr>
            <w:tcW w:w="505" w:type="pct"/>
            <w:shd w:val="clear" w:color="auto" w:fill="auto"/>
            <w:tcMar>
              <w:top w:w="0" w:type="dxa"/>
              <w:bottom w:w="0" w:type="dxa"/>
            </w:tcMar>
            <w:vAlign w:val="center"/>
          </w:tcPr>
          <w:p w14:paraId="75B4F21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(550)</w:t>
            </w:r>
          </w:p>
        </w:tc>
        <w:tc>
          <w:tcPr>
            <w:tcW w:w="519" w:type="pct"/>
            <w:shd w:val="clear" w:color="auto" w:fill="auto"/>
            <w:tcMar>
              <w:top w:w="0" w:type="dxa"/>
              <w:bottom w:w="0" w:type="dxa"/>
            </w:tcMar>
            <w:vAlign w:val="center"/>
          </w:tcPr>
          <w:p w14:paraId="39B8610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134%</w:t>
            </w:r>
          </w:p>
        </w:tc>
        <w:tc>
          <w:tcPr>
            <w:tcW w:w="562" w:type="pct"/>
            <w:shd w:val="clear" w:color="auto" w:fill="auto"/>
            <w:tcMar>
              <w:top w:w="0" w:type="dxa"/>
              <w:bottom w:w="0" w:type="dxa"/>
            </w:tcMar>
            <w:vAlign w:val="center"/>
          </w:tcPr>
          <w:p w14:paraId="717023E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(5,561)</w:t>
            </w:r>
          </w:p>
        </w:tc>
        <w:tc>
          <w:tcPr>
            <w:tcW w:w="529" w:type="pct"/>
            <w:shd w:val="clear" w:color="auto" w:fill="auto"/>
            <w:tcMar>
              <w:top w:w="0" w:type="dxa"/>
              <w:bottom w:w="0" w:type="dxa"/>
            </w:tcMar>
            <w:vAlign w:val="center"/>
          </w:tcPr>
          <w:p w14:paraId="761F7D7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-87%</w:t>
            </w:r>
          </w:p>
        </w:tc>
      </w:tr>
      <w:tr w:rsidR="00112A52" w:rsidRPr="00185375" w14:paraId="4BA53397" w14:textId="77777777" w:rsidTr="00E33BB2">
        <w:tc>
          <w:tcPr>
            <w:tcW w:w="156" w:type="pct"/>
            <w:shd w:val="clear" w:color="auto" w:fill="auto"/>
            <w:tcMar>
              <w:top w:w="0" w:type="dxa"/>
              <w:bottom w:w="0" w:type="dxa"/>
            </w:tcMar>
            <w:vAlign w:val="center"/>
          </w:tcPr>
          <w:p w14:paraId="3F79F29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5</w:t>
            </w:r>
          </w:p>
        </w:tc>
        <w:tc>
          <w:tcPr>
            <w:tcW w:w="1592" w:type="pct"/>
            <w:shd w:val="clear" w:color="auto" w:fill="auto"/>
            <w:tcMar>
              <w:top w:w="0" w:type="dxa"/>
              <w:bottom w:w="0" w:type="dxa"/>
            </w:tcMar>
            <w:vAlign w:val="center"/>
          </w:tcPr>
          <w:p w14:paraId="445CE2C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Profit before tax</w:t>
            </w:r>
          </w:p>
        </w:tc>
        <w:tc>
          <w:tcPr>
            <w:tcW w:w="585" w:type="pct"/>
            <w:shd w:val="clear" w:color="auto" w:fill="auto"/>
            <w:tcMar>
              <w:top w:w="0" w:type="dxa"/>
              <w:bottom w:w="0" w:type="dxa"/>
            </w:tcMar>
            <w:vAlign w:val="center"/>
          </w:tcPr>
          <w:p w14:paraId="3A7598A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(20,093)</w:t>
            </w:r>
          </w:p>
        </w:tc>
        <w:tc>
          <w:tcPr>
            <w:tcW w:w="551" w:type="pct"/>
            <w:shd w:val="clear" w:color="auto" w:fill="auto"/>
            <w:tcMar>
              <w:top w:w="0" w:type="dxa"/>
              <w:bottom w:w="0" w:type="dxa"/>
            </w:tcMar>
            <w:vAlign w:val="center"/>
          </w:tcPr>
          <w:p w14:paraId="4C6F2C9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-11%</w:t>
            </w:r>
          </w:p>
        </w:tc>
        <w:tc>
          <w:tcPr>
            <w:tcW w:w="505" w:type="pct"/>
            <w:shd w:val="clear" w:color="auto" w:fill="auto"/>
            <w:tcMar>
              <w:top w:w="0" w:type="dxa"/>
              <w:bottom w:w="0" w:type="dxa"/>
            </w:tcMar>
            <w:vAlign w:val="center"/>
          </w:tcPr>
          <w:p w14:paraId="600F885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w:t>
            </w:r>
          </w:p>
        </w:tc>
        <w:tc>
          <w:tcPr>
            <w:tcW w:w="519" w:type="pct"/>
            <w:shd w:val="clear" w:color="auto" w:fill="auto"/>
            <w:tcMar>
              <w:top w:w="0" w:type="dxa"/>
              <w:bottom w:w="0" w:type="dxa"/>
            </w:tcMar>
            <w:vAlign w:val="center"/>
          </w:tcPr>
          <w:p w14:paraId="4EEE040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w:t>
            </w:r>
          </w:p>
        </w:tc>
        <w:tc>
          <w:tcPr>
            <w:tcW w:w="562" w:type="pct"/>
            <w:shd w:val="clear" w:color="auto" w:fill="auto"/>
            <w:tcMar>
              <w:top w:w="0" w:type="dxa"/>
              <w:bottom w:w="0" w:type="dxa"/>
            </w:tcMar>
            <w:vAlign w:val="center"/>
          </w:tcPr>
          <w:p w14:paraId="1C1DC15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(38,920)</w:t>
            </w:r>
          </w:p>
        </w:tc>
        <w:tc>
          <w:tcPr>
            <w:tcW w:w="529" w:type="pct"/>
            <w:shd w:val="clear" w:color="auto" w:fill="auto"/>
            <w:tcMar>
              <w:top w:w="0" w:type="dxa"/>
              <w:bottom w:w="0" w:type="dxa"/>
            </w:tcMar>
            <w:vAlign w:val="center"/>
          </w:tcPr>
          <w:p w14:paraId="3C8EC19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-48%</w:t>
            </w:r>
          </w:p>
        </w:tc>
      </w:tr>
      <w:tr w:rsidR="00112A52" w:rsidRPr="00185375" w14:paraId="27674534" w14:textId="77777777" w:rsidTr="00E33BB2">
        <w:tc>
          <w:tcPr>
            <w:tcW w:w="156" w:type="pct"/>
            <w:shd w:val="clear" w:color="auto" w:fill="auto"/>
            <w:tcMar>
              <w:top w:w="0" w:type="dxa"/>
              <w:bottom w:w="0" w:type="dxa"/>
            </w:tcMar>
            <w:vAlign w:val="center"/>
          </w:tcPr>
          <w:p w14:paraId="1BB9061E"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1592" w:type="pct"/>
            <w:shd w:val="clear" w:color="auto" w:fill="auto"/>
            <w:tcMar>
              <w:top w:w="0" w:type="dxa"/>
              <w:bottom w:w="0" w:type="dxa"/>
            </w:tcMar>
            <w:vAlign w:val="center"/>
          </w:tcPr>
          <w:p w14:paraId="242C73B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Profit before tax/Revenue (%)</w:t>
            </w:r>
          </w:p>
        </w:tc>
        <w:tc>
          <w:tcPr>
            <w:tcW w:w="585" w:type="pct"/>
            <w:shd w:val="clear" w:color="auto" w:fill="auto"/>
            <w:tcMar>
              <w:top w:w="0" w:type="dxa"/>
              <w:bottom w:w="0" w:type="dxa"/>
            </w:tcMar>
            <w:vAlign w:val="center"/>
          </w:tcPr>
          <w:p w14:paraId="585FB32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-11%</w:t>
            </w:r>
          </w:p>
        </w:tc>
        <w:tc>
          <w:tcPr>
            <w:tcW w:w="551" w:type="pct"/>
            <w:shd w:val="clear" w:color="auto" w:fill="auto"/>
            <w:tcMar>
              <w:top w:w="0" w:type="dxa"/>
              <w:bottom w:w="0" w:type="dxa"/>
            </w:tcMar>
            <w:vAlign w:val="center"/>
          </w:tcPr>
          <w:p w14:paraId="6A69D00A"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c>
          <w:tcPr>
            <w:tcW w:w="505" w:type="pct"/>
            <w:shd w:val="clear" w:color="auto" w:fill="auto"/>
            <w:tcMar>
              <w:top w:w="0" w:type="dxa"/>
              <w:bottom w:w="0" w:type="dxa"/>
            </w:tcMar>
            <w:vAlign w:val="center"/>
          </w:tcPr>
          <w:p w14:paraId="785EF1C9"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w:t>
            </w:r>
          </w:p>
        </w:tc>
        <w:tc>
          <w:tcPr>
            <w:tcW w:w="519" w:type="pct"/>
            <w:shd w:val="clear" w:color="auto" w:fill="auto"/>
            <w:tcMar>
              <w:top w:w="0" w:type="dxa"/>
              <w:bottom w:w="0" w:type="dxa"/>
            </w:tcMar>
            <w:vAlign w:val="center"/>
          </w:tcPr>
          <w:p w14:paraId="6D6EAA45"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c>
          <w:tcPr>
            <w:tcW w:w="562" w:type="pct"/>
            <w:shd w:val="clear" w:color="auto" w:fill="auto"/>
            <w:tcMar>
              <w:top w:w="0" w:type="dxa"/>
              <w:bottom w:w="0" w:type="dxa"/>
            </w:tcMar>
            <w:vAlign w:val="center"/>
          </w:tcPr>
          <w:p w14:paraId="49871BD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-21%</w:t>
            </w:r>
          </w:p>
        </w:tc>
        <w:tc>
          <w:tcPr>
            <w:tcW w:w="529" w:type="pct"/>
            <w:shd w:val="clear" w:color="auto" w:fill="auto"/>
            <w:tcMar>
              <w:top w:w="0" w:type="dxa"/>
              <w:bottom w:w="0" w:type="dxa"/>
            </w:tcMar>
            <w:vAlign w:val="center"/>
          </w:tcPr>
          <w:p w14:paraId="5F42F96A" w14:textId="77777777" w:rsidR="00112A52" w:rsidRPr="00185375" w:rsidRDefault="00112A52" w:rsidP="00E33BB2">
            <w:pPr>
              <w:tabs>
                <w:tab w:val="left" w:pos="432"/>
              </w:tabs>
              <w:spacing w:after="120" w:line="360" w:lineRule="auto"/>
              <w:jc w:val="center"/>
              <w:rPr>
                <w:rFonts w:ascii="Arial" w:eastAsia="Arial" w:hAnsi="Arial" w:cs="Arial"/>
                <w:color w:val="010000"/>
                <w:sz w:val="20"/>
                <w:szCs w:val="20"/>
              </w:rPr>
            </w:pPr>
          </w:p>
        </w:tc>
      </w:tr>
    </w:tbl>
    <w:p w14:paraId="3FD6B2BC" w14:textId="0ED5FBE2" w:rsidR="00112A52" w:rsidRPr="00185375" w:rsidRDefault="00185375" w:rsidP="00316A94">
      <w:pPr>
        <w:keepNext/>
        <w:pBdr>
          <w:top w:val="nil"/>
          <w:left w:val="nil"/>
          <w:bottom w:val="nil"/>
          <w:right w:val="nil"/>
          <w:between w:val="nil"/>
        </w:pBdr>
        <w:tabs>
          <w:tab w:val="left" w:pos="432"/>
          <w:tab w:val="left" w:pos="576"/>
        </w:tabs>
        <w:spacing w:after="120" w:line="360" w:lineRule="auto"/>
        <w:rPr>
          <w:rFonts w:ascii="Arial" w:eastAsia="Arial" w:hAnsi="Arial" w:cs="Arial"/>
          <w:color w:val="010000"/>
          <w:sz w:val="20"/>
          <w:szCs w:val="20"/>
        </w:rPr>
      </w:pPr>
      <w:r w:rsidRPr="00185375">
        <w:rPr>
          <w:rFonts w:ascii="Arial" w:hAnsi="Arial" w:cs="Arial"/>
          <w:color w:val="010000"/>
          <w:sz w:val="20"/>
        </w:rPr>
        <w:t>B</w:t>
      </w:r>
      <w:r w:rsidR="004F5A41" w:rsidRPr="00185375">
        <w:rPr>
          <w:rFonts w:ascii="Arial" w:hAnsi="Arial" w:cs="Arial"/>
          <w:color w:val="010000"/>
          <w:sz w:val="20"/>
        </w:rPr>
        <w:t>usiness plan for 2024</w:t>
      </w:r>
    </w:p>
    <w:p w14:paraId="2A939DC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Unit: million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5131"/>
        <w:gridCol w:w="1657"/>
        <w:gridCol w:w="1666"/>
      </w:tblGrid>
      <w:tr w:rsidR="00112A52" w:rsidRPr="00185375" w14:paraId="0E5BB155" w14:textId="77777777" w:rsidTr="00316A94">
        <w:trPr>
          <w:jc w:val="center"/>
        </w:trPr>
        <w:tc>
          <w:tcPr>
            <w:tcW w:w="312" w:type="pct"/>
            <w:shd w:val="clear" w:color="auto" w:fill="auto"/>
            <w:tcMar>
              <w:top w:w="0" w:type="dxa"/>
              <w:bottom w:w="0" w:type="dxa"/>
            </w:tcMar>
            <w:vAlign w:val="center"/>
          </w:tcPr>
          <w:p w14:paraId="7C18C01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lastRenderedPageBreak/>
              <w:t>No.</w:t>
            </w:r>
          </w:p>
        </w:tc>
        <w:tc>
          <w:tcPr>
            <w:tcW w:w="2845" w:type="pct"/>
            <w:shd w:val="clear" w:color="auto" w:fill="auto"/>
            <w:tcMar>
              <w:top w:w="0" w:type="dxa"/>
              <w:bottom w:w="0" w:type="dxa"/>
            </w:tcMar>
            <w:vAlign w:val="center"/>
          </w:tcPr>
          <w:p w14:paraId="5C8D5824"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Content</w:t>
            </w:r>
          </w:p>
        </w:tc>
        <w:tc>
          <w:tcPr>
            <w:tcW w:w="919" w:type="pct"/>
            <w:shd w:val="clear" w:color="auto" w:fill="auto"/>
            <w:tcMar>
              <w:top w:w="0" w:type="dxa"/>
              <w:bottom w:w="0" w:type="dxa"/>
            </w:tcMar>
            <w:vAlign w:val="center"/>
          </w:tcPr>
          <w:p w14:paraId="357B429B"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Amount</w:t>
            </w:r>
          </w:p>
        </w:tc>
        <w:tc>
          <w:tcPr>
            <w:tcW w:w="924" w:type="pct"/>
            <w:shd w:val="clear" w:color="auto" w:fill="auto"/>
            <w:tcMar>
              <w:top w:w="0" w:type="dxa"/>
              <w:bottom w:w="0" w:type="dxa"/>
            </w:tcMar>
            <w:vAlign w:val="center"/>
          </w:tcPr>
          <w:p w14:paraId="54B712D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Compared to revenue (%)</w:t>
            </w:r>
          </w:p>
        </w:tc>
      </w:tr>
      <w:tr w:rsidR="00112A52" w:rsidRPr="00185375" w14:paraId="0751FDBB" w14:textId="77777777" w:rsidTr="00316A94">
        <w:trPr>
          <w:jc w:val="center"/>
        </w:trPr>
        <w:tc>
          <w:tcPr>
            <w:tcW w:w="312" w:type="pct"/>
            <w:shd w:val="clear" w:color="auto" w:fill="auto"/>
            <w:tcMar>
              <w:top w:w="0" w:type="dxa"/>
              <w:bottom w:w="0" w:type="dxa"/>
            </w:tcMar>
            <w:vAlign w:val="center"/>
          </w:tcPr>
          <w:p w14:paraId="6EAEC5D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A</w:t>
            </w:r>
          </w:p>
        </w:tc>
        <w:tc>
          <w:tcPr>
            <w:tcW w:w="2845" w:type="pct"/>
            <w:shd w:val="clear" w:color="auto" w:fill="auto"/>
            <w:tcMar>
              <w:top w:w="0" w:type="dxa"/>
              <w:bottom w:w="0" w:type="dxa"/>
            </w:tcMar>
            <w:vAlign w:val="center"/>
          </w:tcPr>
          <w:p w14:paraId="41E7EF1E"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Revenue</w:t>
            </w:r>
          </w:p>
        </w:tc>
        <w:tc>
          <w:tcPr>
            <w:tcW w:w="919" w:type="pct"/>
            <w:shd w:val="clear" w:color="auto" w:fill="auto"/>
            <w:tcMar>
              <w:top w:w="0" w:type="dxa"/>
              <w:bottom w:w="0" w:type="dxa"/>
            </w:tcMar>
            <w:vAlign w:val="center"/>
          </w:tcPr>
          <w:p w14:paraId="79CD260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275,072</w:t>
            </w:r>
          </w:p>
        </w:tc>
        <w:tc>
          <w:tcPr>
            <w:tcW w:w="924" w:type="pct"/>
            <w:shd w:val="clear" w:color="auto" w:fill="auto"/>
            <w:tcMar>
              <w:top w:w="0" w:type="dxa"/>
              <w:bottom w:w="0" w:type="dxa"/>
            </w:tcMar>
            <w:vAlign w:val="center"/>
          </w:tcPr>
          <w:p w14:paraId="4E394D29"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100%</w:t>
            </w:r>
          </w:p>
        </w:tc>
      </w:tr>
      <w:tr w:rsidR="00112A52" w:rsidRPr="00185375" w14:paraId="022FB076" w14:textId="77777777" w:rsidTr="00316A94">
        <w:trPr>
          <w:jc w:val="center"/>
        </w:trPr>
        <w:tc>
          <w:tcPr>
            <w:tcW w:w="312" w:type="pct"/>
            <w:shd w:val="clear" w:color="auto" w:fill="auto"/>
            <w:tcMar>
              <w:top w:w="0" w:type="dxa"/>
              <w:bottom w:w="0" w:type="dxa"/>
            </w:tcMar>
            <w:vAlign w:val="center"/>
          </w:tcPr>
          <w:p w14:paraId="6F7FAE9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2845" w:type="pct"/>
            <w:shd w:val="clear" w:color="auto" w:fill="auto"/>
            <w:tcMar>
              <w:top w:w="0" w:type="dxa"/>
              <w:bottom w:w="0" w:type="dxa"/>
            </w:tcMar>
            <w:vAlign w:val="center"/>
          </w:tcPr>
          <w:p w14:paraId="105AF2B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Commercial goods</w:t>
            </w:r>
          </w:p>
        </w:tc>
        <w:tc>
          <w:tcPr>
            <w:tcW w:w="919" w:type="pct"/>
            <w:shd w:val="clear" w:color="auto" w:fill="auto"/>
            <w:tcMar>
              <w:top w:w="0" w:type="dxa"/>
              <w:bottom w:w="0" w:type="dxa"/>
            </w:tcMar>
            <w:vAlign w:val="center"/>
          </w:tcPr>
          <w:p w14:paraId="0C1F029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102,252</w:t>
            </w:r>
          </w:p>
        </w:tc>
        <w:tc>
          <w:tcPr>
            <w:tcW w:w="924" w:type="pct"/>
            <w:shd w:val="clear" w:color="auto" w:fill="auto"/>
            <w:tcMar>
              <w:top w:w="0" w:type="dxa"/>
              <w:bottom w:w="0" w:type="dxa"/>
            </w:tcMar>
            <w:vAlign w:val="center"/>
          </w:tcPr>
          <w:p w14:paraId="1CB2609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37%</w:t>
            </w:r>
          </w:p>
        </w:tc>
      </w:tr>
      <w:tr w:rsidR="00112A52" w:rsidRPr="00185375" w14:paraId="7095D4F1" w14:textId="77777777" w:rsidTr="00316A94">
        <w:trPr>
          <w:jc w:val="center"/>
        </w:trPr>
        <w:tc>
          <w:tcPr>
            <w:tcW w:w="312" w:type="pct"/>
            <w:shd w:val="clear" w:color="auto" w:fill="auto"/>
            <w:tcMar>
              <w:top w:w="0" w:type="dxa"/>
              <w:bottom w:w="0" w:type="dxa"/>
            </w:tcMar>
            <w:vAlign w:val="center"/>
          </w:tcPr>
          <w:p w14:paraId="7A915629"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34A3650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ETC commercial goods</w:t>
            </w:r>
          </w:p>
        </w:tc>
        <w:tc>
          <w:tcPr>
            <w:tcW w:w="919" w:type="pct"/>
            <w:shd w:val="clear" w:color="auto" w:fill="auto"/>
            <w:tcMar>
              <w:top w:w="0" w:type="dxa"/>
              <w:bottom w:w="0" w:type="dxa"/>
            </w:tcMar>
            <w:vAlign w:val="center"/>
          </w:tcPr>
          <w:p w14:paraId="7B685B6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54,660</w:t>
            </w:r>
          </w:p>
        </w:tc>
        <w:tc>
          <w:tcPr>
            <w:tcW w:w="924" w:type="pct"/>
            <w:shd w:val="clear" w:color="auto" w:fill="auto"/>
            <w:tcMar>
              <w:top w:w="0" w:type="dxa"/>
              <w:bottom w:w="0" w:type="dxa"/>
            </w:tcMar>
            <w:vAlign w:val="center"/>
          </w:tcPr>
          <w:p w14:paraId="6D8709F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w:t>
            </w:r>
          </w:p>
        </w:tc>
      </w:tr>
      <w:tr w:rsidR="00112A52" w:rsidRPr="00185375" w14:paraId="77155268" w14:textId="77777777" w:rsidTr="00316A94">
        <w:trPr>
          <w:jc w:val="center"/>
        </w:trPr>
        <w:tc>
          <w:tcPr>
            <w:tcW w:w="312" w:type="pct"/>
            <w:shd w:val="clear" w:color="auto" w:fill="auto"/>
            <w:tcMar>
              <w:top w:w="0" w:type="dxa"/>
              <w:bottom w:w="0" w:type="dxa"/>
            </w:tcMar>
            <w:vAlign w:val="center"/>
          </w:tcPr>
          <w:p w14:paraId="3F1712C5"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7337D4B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OTC commercial goods</w:t>
            </w:r>
          </w:p>
        </w:tc>
        <w:tc>
          <w:tcPr>
            <w:tcW w:w="919" w:type="pct"/>
            <w:shd w:val="clear" w:color="auto" w:fill="auto"/>
            <w:tcMar>
              <w:top w:w="0" w:type="dxa"/>
              <w:bottom w:w="0" w:type="dxa"/>
            </w:tcMar>
            <w:vAlign w:val="center"/>
          </w:tcPr>
          <w:p w14:paraId="3FE8B02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47,592</w:t>
            </w:r>
          </w:p>
        </w:tc>
        <w:tc>
          <w:tcPr>
            <w:tcW w:w="924" w:type="pct"/>
            <w:shd w:val="clear" w:color="auto" w:fill="auto"/>
            <w:tcMar>
              <w:top w:w="0" w:type="dxa"/>
              <w:bottom w:w="0" w:type="dxa"/>
            </w:tcMar>
            <w:vAlign w:val="center"/>
          </w:tcPr>
          <w:p w14:paraId="5CBA6DDB"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w:t>
            </w:r>
          </w:p>
        </w:tc>
      </w:tr>
      <w:tr w:rsidR="00112A52" w:rsidRPr="00185375" w14:paraId="039A5F25" w14:textId="77777777" w:rsidTr="00316A94">
        <w:trPr>
          <w:jc w:val="center"/>
        </w:trPr>
        <w:tc>
          <w:tcPr>
            <w:tcW w:w="312" w:type="pct"/>
            <w:shd w:val="clear" w:color="auto" w:fill="auto"/>
            <w:tcMar>
              <w:top w:w="0" w:type="dxa"/>
              <w:bottom w:w="0" w:type="dxa"/>
            </w:tcMar>
            <w:vAlign w:val="center"/>
          </w:tcPr>
          <w:p w14:paraId="0807568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2845" w:type="pct"/>
            <w:shd w:val="clear" w:color="auto" w:fill="auto"/>
            <w:tcMar>
              <w:top w:w="0" w:type="dxa"/>
              <w:bottom w:w="0" w:type="dxa"/>
            </w:tcMar>
            <w:vAlign w:val="center"/>
          </w:tcPr>
          <w:p w14:paraId="1C8FE897"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Manufactured goods</w:t>
            </w:r>
          </w:p>
        </w:tc>
        <w:tc>
          <w:tcPr>
            <w:tcW w:w="919" w:type="pct"/>
            <w:shd w:val="clear" w:color="auto" w:fill="auto"/>
            <w:tcMar>
              <w:top w:w="0" w:type="dxa"/>
              <w:bottom w:w="0" w:type="dxa"/>
            </w:tcMar>
            <w:vAlign w:val="center"/>
          </w:tcPr>
          <w:p w14:paraId="57DAB76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170,660</w:t>
            </w:r>
          </w:p>
        </w:tc>
        <w:tc>
          <w:tcPr>
            <w:tcW w:w="924" w:type="pct"/>
            <w:shd w:val="clear" w:color="auto" w:fill="auto"/>
            <w:tcMar>
              <w:top w:w="0" w:type="dxa"/>
              <w:bottom w:w="0" w:type="dxa"/>
            </w:tcMar>
            <w:vAlign w:val="center"/>
          </w:tcPr>
          <w:p w14:paraId="7CB9EBD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62%</w:t>
            </w:r>
          </w:p>
        </w:tc>
      </w:tr>
      <w:tr w:rsidR="00112A52" w:rsidRPr="00185375" w14:paraId="32F9C35C" w14:textId="77777777" w:rsidTr="00316A94">
        <w:trPr>
          <w:jc w:val="center"/>
        </w:trPr>
        <w:tc>
          <w:tcPr>
            <w:tcW w:w="312" w:type="pct"/>
            <w:shd w:val="clear" w:color="auto" w:fill="auto"/>
            <w:tcMar>
              <w:top w:w="0" w:type="dxa"/>
              <w:bottom w:w="0" w:type="dxa"/>
            </w:tcMar>
            <w:vAlign w:val="center"/>
          </w:tcPr>
          <w:p w14:paraId="5440CA9C"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54A9970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ETC manufactured goods</w:t>
            </w:r>
          </w:p>
        </w:tc>
        <w:tc>
          <w:tcPr>
            <w:tcW w:w="919" w:type="pct"/>
            <w:shd w:val="clear" w:color="auto" w:fill="auto"/>
            <w:tcMar>
              <w:top w:w="0" w:type="dxa"/>
              <w:bottom w:w="0" w:type="dxa"/>
            </w:tcMar>
            <w:vAlign w:val="center"/>
          </w:tcPr>
          <w:p w14:paraId="091448B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2,806</w:t>
            </w:r>
          </w:p>
        </w:tc>
        <w:tc>
          <w:tcPr>
            <w:tcW w:w="924" w:type="pct"/>
            <w:shd w:val="clear" w:color="auto" w:fill="auto"/>
            <w:tcMar>
              <w:top w:w="0" w:type="dxa"/>
              <w:bottom w:w="0" w:type="dxa"/>
            </w:tcMar>
            <w:vAlign w:val="center"/>
          </w:tcPr>
          <w:p w14:paraId="6A35F4B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1CD23392" w14:textId="77777777" w:rsidTr="00316A94">
        <w:trPr>
          <w:jc w:val="center"/>
        </w:trPr>
        <w:tc>
          <w:tcPr>
            <w:tcW w:w="312" w:type="pct"/>
            <w:shd w:val="clear" w:color="auto" w:fill="auto"/>
            <w:tcMar>
              <w:top w:w="0" w:type="dxa"/>
              <w:bottom w:w="0" w:type="dxa"/>
            </w:tcMar>
            <w:vAlign w:val="center"/>
          </w:tcPr>
          <w:p w14:paraId="32C860B6"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4C32FA1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OTC manufactured goods</w:t>
            </w:r>
          </w:p>
        </w:tc>
        <w:tc>
          <w:tcPr>
            <w:tcW w:w="919" w:type="pct"/>
            <w:shd w:val="clear" w:color="auto" w:fill="auto"/>
            <w:tcMar>
              <w:top w:w="0" w:type="dxa"/>
              <w:bottom w:w="0" w:type="dxa"/>
            </w:tcMar>
            <w:vAlign w:val="center"/>
          </w:tcPr>
          <w:p w14:paraId="5AB1F5C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167,854</w:t>
            </w:r>
          </w:p>
        </w:tc>
        <w:tc>
          <w:tcPr>
            <w:tcW w:w="924" w:type="pct"/>
            <w:shd w:val="clear" w:color="auto" w:fill="auto"/>
            <w:tcMar>
              <w:top w:w="0" w:type="dxa"/>
              <w:bottom w:w="0" w:type="dxa"/>
            </w:tcMar>
            <w:vAlign w:val="center"/>
          </w:tcPr>
          <w:p w14:paraId="782E21C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61%</w:t>
            </w:r>
          </w:p>
        </w:tc>
      </w:tr>
      <w:tr w:rsidR="00112A52" w:rsidRPr="00185375" w14:paraId="2A37FFE3" w14:textId="77777777" w:rsidTr="00316A94">
        <w:trPr>
          <w:jc w:val="center"/>
        </w:trPr>
        <w:tc>
          <w:tcPr>
            <w:tcW w:w="312" w:type="pct"/>
            <w:shd w:val="clear" w:color="auto" w:fill="auto"/>
            <w:tcMar>
              <w:top w:w="0" w:type="dxa"/>
              <w:bottom w:w="0" w:type="dxa"/>
            </w:tcMar>
            <w:vAlign w:val="center"/>
          </w:tcPr>
          <w:p w14:paraId="47113A1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2845" w:type="pct"/>
            <w:shd w:val="clear" w:color="auto" w:fill="auto"/>
            <w:tcMar>
              <w:top w:w="0" w:type="dxa"/>
              <w:bottom w:w="0" w:type="dxa"/>
            </w:tcMar>
            <w:vAlign w:val="center"/>
          </w:tcPr>
          <w:p w14:paraId="7AEE33DB"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Service</w:t>
            </w:r>
          </w:p>
        </w:tc>
        <w:tc>
          <w:tcPr>
            <w:tcW w:w="919" w:type="pct"/>
            <w:shd w:val="clear" w:color="auto" w:fill="auto"/>
            <w:tcMar>
              <w:top w:w="0" w:type="dxa"/>
              <w:bottom w:w="0" w:type="dxa"/>
            </w:tcMar>
            <w:vAlign w:val="center"/>
          </w:tcPr>
          <w:p w14:paraId="1F485EE8"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2,160</w:t>
            </w:r>
          </w:p>
        </w:tc>
        <w:tc>
          <w:tcPr>
            <w:tcW w:w="924" w:type="pct"/>
            <w:shd w:val="clear" w:color="auto" w:fill="auto"/>
            <w:tcMar>
              <w:top w:w="0" w:type="dxa"/>
              <w:bottom w:w="0" w:type="dxa"/>
            </w:tcMar>
            <w:vAlign w:val="center"/>
          </w:tcPr>
          <w:p w14:paraId="366DB7F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60DDC640" w14:textId="77777777" w:rsidTr="00316A94">
        <w:trPr>
          <w:jc w:val="center"/>
        </w:trPr>
        <w:tc>
          <w:tcPr>
            <w:tcW w:w="312" w:type="pct"/>
            <w:shd w:val="clear" w:color="auto" w:fill="auto"/>
            <w:tcMar>
              <w:top w:w="0" w:type="dxa"/>
              <w:bottom w:w="0" w:type="dxa"/>
            </w:tcMar>
            <w:vAlign w:val="center"/>
          </w:tcPr>
          <w:p w14:paraId="416069E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B</w:t>
            </w:r>
          </w:p>
        </w:tc>
        <w:tc>
          <w:tcPr>
            <w:tcW w:w="2845" w:type="pct"/>
            <w:shd w:val="clear" w:color="auto" w:fill="auto"/>
            <w:tcMar>
              <w:top w:w="0" w:type="dxa"/>
              <w:bottom w:w="0" w:type="dxa"/>
            </w:tcMar>
            <w:vAlign w:val="center"/>
          </w:tcPr>
          <w:p w14:paraId="2ACC875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Gross profit</w:t>
            </w:r>
          </w:p>
        </w:tc>
        <w:tc>
          <w:tcPr>
            <w:tcW w:w="919" w:type="pct"/>
            <w:shd w:val="clear" w:color="auto" w:fill="auto"/>
            <w:tcMar>
              <w:top w:w="0" w:type="dxa"/>
              <w:bottom w:w="0" w:type="dxa"/>
            </w:tcMar>
            <w:vAlign w:val="center"/>
          </w:tcPr>
          <w:p w14:paraId="03719B3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62,121</w:t>
            </w:r>
          </w:p>
        </w:tc>
        <w:tc>
          <w:tcPr>
            <w:tcW w:w="924" w:type="pct"/>
            <w:shd w:val="clear" w:color="auto" w:fill="auto"/>
            <w:tcMar>
              <w:top w:w="0" w:type="dxa"/>
              <w:bottom w:w="0" w:type="dxa"/>
            </w:tcMar>
            <w:vAlign w:val="center"/>
          </w:tcPr>
          <w:p w14:paraId="385CF2D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23%</w:t>
            </w:r>
          </w:p>
        </w:tc>
      </w:tr>
      <w:tr w:rsidR="00112A52" w:rsidRPr="00185375" w14:paraId="19FC9370" w14:textId="77777777" w:rsidTr="00316A94">
        <w:trPr>
          <w:jc w:val="center"/>
        </w:trPr>
        <w:tc>
          <w:tcPr>
            <w:tcW w:w="312" w:type="pct"/>
            <w:shd w:val="clear" w:color="auto" w:fill="auto"/>
            <w:tcMar>
              <w:top w:w="0" w:type="dxa"/>
              <w:bottom w:w="0" w:type="dxa"/>
            </w:tcMar>
            <w:vAlign w:val="center"/>
          </w:tcPr>
          <w:p w14:paraId="370B676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2845" w:type="pct"/>
            <w:shd w:val="clear" w:color="auto" w:fill="auto"/>
            <w:tcMar>
              <w:top w:w="0" w:type="dxa"/>
              <w:bottom w:w="0" w:type="dxa"/>
            </w:tcMar>
            <w:vAlign w:val="center"/>
          </w:tcPr>
          <w:p w14:paraId="4B8AD8A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Commercial goods</w:t>
            </w:r>
          </w:p>
        </w:tc>
        <w:tc>
          <w:tcPr>
            <w:tcW w:w="919" w:type="pct"/>
            <w:shd w:val="clear" w:color="auto" w:fill="auto"/>
            <w:tcMar>
              <w:top w:w="0" w:type="dxa"/>
              <w:bottom w:w="0" w:type="dxa"/>
            </w:tcMar>
            <w:vAlign w:val="center"/>
          </w:tcPr>
          <w:p w14:paraId="28A71AC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6,682</w:t>
            </w:r>
          </w:p>
        </w:tc>
        <w:tc>
          <w:tcPr>
            <w:tcW w:w="924" w:type="pct"/>
            <w:shd w:val="clear" w:color="auto" w:fill="auto"/>
            <w:tcMar>
              <w:top w:w="0" w:type="dxa"/>
              <w:bottom w:w="0" w:type="dxa"/>
            </w:tcMar>
            <w:vAlign w:val="center"/>
          </w:tcPr>
          <w:p w14:paraId="2DBBD58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w:t>
            </w:r>
          </w:p>
        </w:tc>
      </w:tr>
      <w:tr w:rsidR="00112A52" w:rsidRPr="00185375" w14:paraId="61AC13AD" w14:textId="77777777" w:rsidTr="00316A94">
        <w:trPr>
          <w:jc w:val="center"/>
        </w:trPr>
        <w:tc>
          <w:tcPr>
            <w:tcW w:w="312" w:type="pct"/>
            <w:shd w:val="clear" w:color="auto" w:fill="auto"/>
            <w:tcMar>
              <w:top w:w="0" w:type="dxa"/>
              <w:bottom w:w="0" w:type="dxa"/>
            </w:tcMar>
            <w:vAlign w:val="center"/>
          </w:tcPr>
          <w:p w14:paraId="09B0E3EB" w14:textId="77777777" w:rsidR="00112A52" w:rsidRPr="00185375" w:rsidRDefault="00112A52"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622452A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ETC commercial goods</w:t>
            </w:r>
          </w:p>
        </w:tc>
        <w:tc>
          <w:tcPr>
            <w:tcW w:w="919" w:type="pct"/>
            <w:shd w:val="clear" w:color="auto" w:fill="auto"/>
            <w:tcMar>
              <w:top w:w="0" w:type="dxa"/>
              <w:bottom w:w="0" w:type="dxa"/>
            </w:tcMar>
            <w:vAlign w:val="center"/>
          </w:tcPr>
          <w:p w14:paraId="26830DC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3,826</w:t>
            </w:r>
          </w:p>
        </w:tc>
        <w:tc>
          <w:tcPr>
            <w:tcW w:w="924" w:type="pct"/>
            <w:shd w:val="clear" w:color="auto" w:fill="auto"/>
            <w:tcMar>
              <w:top w:w="0" w:type="dxa"/>
              <w:bottom w:w="0" w:type="dxa"/>
            </w:tcMar>
            <w:vAlign w:val="center"/>
          </w:tcPr>
          <w:p w14:paraId="0CB39D7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53422D03" w14:textId="77777777" w:rsidTr="00316A94">
        <w:trPr>
          <w:jc w:val="center"/>
        </w:trPr>
        <w:tc>
          <w:tcPr>
            <w:tcW w:w="312" w:type="pct"/>
            <w:shd w:val="clear" w:color="auto" w:fill="auto"/>
            <w:tcMar>
              <w:top w:w="0" w:type="dxa"/>
              <w:bottom w:w="0" w:type="dxa"/>
            </w:tcMar>
            <w:vAlign w:val="center"/>
          </w:tcPr>
          <w:p w14:paraId="217BB7F4" w14:textId="77777777" w:rsidR="00112A52" w:rsidRPr="00185375" w:rsidRDefault="00112A52"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224CD8E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OTC commercial goods</w:t>
            </w:r>
          </w:p>
        </w:tc>
        <w:tc>
          <w:tcPr>
            <w:tcW w:w="919" w:type="pct"/>
            <w:shd w:val="clear" w:color="auto" w:fill="auto"/>
            <w:tcMar>
              <w:top w:w="0" w:type="dxa"/>
              <w:bottom w:w="0" w:type="dxa"/>
            </w:tcMar>
            <w:vAlign w:val="center"/>
          </w:tcPr>
          <w:p w14:paraId="7929871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2,855</w:t>
            </w:r>
          </w:p>
        </w:tc>
        <w:tc>
          <w:tcPr>
            <w:tcW w:w="924" w:type="pct"/>
            <w:shd w:val="clear" w:color="auto" w:fill="auto"/>
            <w:tcMar>
              <w:top w:w="0" w:type="dxa"/>
              <w:bottom w:w="0" w:type="dxa"/>
            </w:tcMar>
            <w:vAlign w:val="center"/>
          </w:tcPr>
          <w:p w14:paraId="49300BD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5A3953BA" w14:textId="77777777" w:rsidTr="00316A94">
        <w:trPr>
          <w:jc w:val="center"/>
        </w:trPr>
        <w:tc>
          <w:tcPr>
            <w:tcW w:w="312" w:type="pct"/>
            <w:shd w:val="clear" w:color="auto" w:fill="auto"/>
            <w:tcMar>
              <w:top w:w="0" w:type="dxa"/>
              <w:bottom w:w="0" w:type="dxa"/>
            </w:tcMar>
            <w:vAlign w:val="center"/>
          </w:tcPr>
          <w:p w14:paraId="2CC5AEF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2845" w:type="pct"/>
            <w:shd w:val="clear" w:color="auto" w:fill="auto"/>
            <w:tcMar>
              <w:top w:w="0" w:type="dxa"/>
              <w:bottom w:w="0" w:type="dxa"/>
            </w:tcMar>
            <w:vAlign w:val="center"/>
          </w:tcPr>
          <w:p w14:paraId="36D73D7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Manufactured goods</w:t>
            </w:r>
          </w:p>
        </w:tc>
        <w:tc>
          <w:tcPr>
            <w:tcW w:w="919" w:type="pct"/>
            <w:shd w:val="clear" w:color="auto" w:fill="auto"/>
            <w:tcMar>
              <w:top w:w="0" w:type="dxa"/>
              <w:bottom w:w="0" w:type="dxa"/>
            </w:tcMar>
            <w:vAlign w:val="center"/>
          </w:tcPr>
          <w:p w14:paraId="7A5E9782" w14:textId="53E2FBEF"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53,389</w:t>
            </w:r>
          </w:p>
        </w:tc>
        <w:tc>
          <w:tcPr>
            <w:tcW w:w="924" w:type="pct"/>
            <w:shd w:val="clear" w:color="auto" w:fill="auto"/>
            <w:tcMar>
              <w:top w:w="0" w:type="dxa"/>
              <w:bottom w:w="0" w:type="dxa"/>
            </w:tcMar>
            <w:vAlign w:val="center"/>
          </w:tcPr>
          <w:p w14:paraId="19E751C9"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19%</w:t>
            </w:r>
          </w:p>
        </w:tc>
      </w:tr>
      <w:tr w:rsidR="00112A52" w:rsidRPr="00185375" w14:paraId="32299252" w14:textId="77777777" w:rsidTr="00316A94">
        <w:trPr>
          <w:jc w:val="center"/>
        </w:trPr>
        <w:tc>
          <w:tcPr>
            <w:tcW w:w="312" w:type="pct"/>
            <w:shd w:val="clear" w:color="auto" w:fill="auto"/>
            <w:tcMar>
              <w:top w:w="0" w:type="dxa"/>
              <w:bottom w:w="0" w:type="dxa"/>
            </w:tcMar>
            <w:vAlign w:val="center"/>
          </w:tcPr>
          <w:p w14:paraId="644DD9E4" w14:textId="77777777" w:rsidR="00112A52" w:rsidRPr="00185375" w:rsidRDefault="00112A52"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19ACD91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ETC manufactured goods</w:t>
            </w:r>
          </w:p>
        </w:tc>
        <w:tc>
          <w:tcPr>
            <w:tcW w:w="919" w:type="pct"/>
            <w:shd w:val="clear" w:color="auto" w:fill="auto"/>
            <w:tcMar>
              <w:top w:w="0" w:type="dxa"/>
              <w:bottom w:w="0" w:type="dxa"/>
            </w:tcMar>
            <w:vAlign w:val="center"/>
          </w:tcPr>
          <w:p w14:paraId="171047D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196</w:t>
            </w:r>
          </w:p>
        </w:tc>
        <w:tc>
          <w:tcPr>
            <w:tcW w:w="924" w:type="pct"/>
            <w:shd w:val="clear" w:color="auto" w:fill="auto"/>
            <w:tcMar>
              <w:top w:w="0" w:type="dxa"/>
              <w:bottom w:w="0" w:type="dxa"/>
            </w:tcMar>
            <w:vAlign w:val="center"/>
          </w:tcPr>
          <w:p w14:paraId="66A0640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0.1%</w:t>
            </w:r>
          </w:p>
        </w:tc>
      </w:tr>
      <w:tr w:rsidR="00112A52" w:rsidRPr="00185375" w14:paraId="6680965D" w14:textId="77777777" w:rsidTr="00316A94">
        <w:trPr>
          <w:jc w:val="center"/>
        </w:trPr>
        <w:tc>
          <w:tcPr>
            <w:tcW w:w="312" w:type="pct"/>
            <w:shd w:val="clear" w:color="auto" w:fill="auto"/>
            <w:tcMar>
              <w:top w:w="0" w:type="dxa"/>
              <w:bottom w:w="0" w:type="dxa"/>
            </w:tcMar>
            <w:vAlign w:val="center"/>
          </w:tcPr>
          <w:p w14:paraId="7FDF1559" w14:textId="77777777" w:rsidR="00112A52" w:rsidRPr="00185375" w:rsidRDefault="00112A52"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845" w:type="pct"/>
            <w:shd w:val="clear" w:color="auto" w:fill="auto"/>
            <w:tcMar>
              <w:top w:w="0" w:type="dxa"/>
              <w:bottom w:w="0" w:type="dxa"/>
            </w:tcMar>
            <w:vAlign w:val="center"/>
          </w:tcPr>
          <w:p w14:paraId="2C42F510"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OTC manufactured goods</w:t>
            </w:r>
          </w:p>
        </w:tc>
        <w:tc>
          <w:tcPr>
            <w:tcW w:w="919" w:type="pct"/>
            <w:shd w:val="clear" w:color="auto" w:fill="auto"/>
            <w:tcMar>
              <w:top w:w="0" w:type="dxa"/>
              <w:bottom w:w="0" w:type="dxa"/>
            </w:tcMar>
            <w:vAlign w:val="center"/>
          </w:tcPr>
          <w:p w14:paraId="1FC038D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53,192</w:t>
            </w:r>
          </w:p>
        </w:tc>
        <w:tc>
          <w:tcPr>
            <w:tcW w:w="924" w:type="pct"/>
            <w:shd w:val="clear" w:color="auto" w:fill="auto"/>
            <w:tcMar>
              <w:top w:w="0" w:type="dxa"/>
              <w:bottom w:w="0" w:type="dxa"/>
            </w:tcMar>
            <w:vAlign w:val="center"/>
          </w:tcPr>
          <w:p w14:paraId="2C5225CB"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19%</w:t>
            </w:r>
          </w:p>
        </w:tc>
      </w:tr>
      <w:tr w:rsidR="00112A52" w:rsidRPr="00185375" w14:paraId="4B112DFE" w14:textId="77777777" w:rsidTr="00316A94">
        <w:trPr>
          <w:jc w:val="center"/>
        </w:trPr>
        <w:tc>
          <w:tcPr>
            <w:tcW w:w="312" w:type="pct"/>
            <w:shd w:val="clear" w:color="auto" w:fill="auto"/>
            <w:tcMar>
              <w:top w:w="0" w:type="dxa"/>
              <w:bottom w:w="0" w:type="dxa"/>
            </w:tcMar>
            <w:vAlign w:val="center"/>
          </w:tcPr>
          <w:p w14:paraId="6E1561C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2845" w:type="pct"/>
            <w:shd w:val="clear" w:color="auto" w:fill="auto"/>
            <w:tcMar>
              <w:top w:w="0" w:type="dxa"/>
              <w:bottom w:w="0" w:type="dxa"/>
            </w:tcMar>
            <w:vAlign w:val="center"/>
          </w:tcPr>
          <w:p w14:paraId="4554C9A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Service</w:t>
            </w:r>
          </w:p>
        </w:tc>
        <w:tc>
          <w:tcPr>
            <w:tcW w:w="919" w:type="pct"/>
            <w:shd w:val="clear" w:color="auto" w:fill="auto"/>
            <w:tcMar>
              <w:top w:w="0" w:type="dxa"/>
              <w:bottom w:w="0" w:type="dxa"/>
            </w:tcMar>
            <w:vAlign w:val="center"/>
          </w:tcPr>
          <w:p w14:paraId="60C9456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2,051</w:t>
            </w:r>
          </w:p>
        </w:tc>
        <w:tc>
          <w:tcPr>
            <w:tcW w:w="924" w:type="pct"/>
            <w:shd w:val="clear" w:color="auto" w:fill="auto"/>
            <w:tcMar>
              <w:top w:w="0" w:type="dxa"/>
              <w:bottom w:w="0" w:type="dxa"/>
            </w:tcMar>
            <w:vAlign w:val="center"/>
          </w:tcPr>
          <w:p w14:paraId="2478D85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0.7%</w:t>
            </w:r>
          </w:p>
        </w:tc>
      </w:tr>
      <w:tr w:rsidR="00112A52" w:rsidRPr="00185375" w14:paraId="18E526AF" w14:textId="77777777" w:rsidTr="00316A94">
        <w:trPr>
          <w:jc w:val="center"/>
        </w:trPr>
        <w:tc>
          <w:tcPr>
            <w:tcW w:w="312" w:type="pct"/>
            <w:shd w:val="clear" w:color="auto" w:fill="auto"/>
            <w:tcMar>
              <w:top w:w="0" w:type="dxa"/>
              <w:bottom w:w="0" w:type="dxa"/>
            </w:tcMar>
            <w:vAlign w:val="center"/>
          </w:tcPr>
          <w:p w14:paraId="6D1E4AAE" w14:textId="75F9A375" w:rsidR="00112A52"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w:t>
            </w:r>
          </w:p>
        </w:tc>
        <w:tc>
          <w:tcPr>
            <w:tcW w:w="2845" w:type="pct"/>
            <w:shd w:val="clear" w:color="auto" w:fill="auto"/>
            <w:tcMar>
              <w:top w:w="0" w:type="dxa"/>
              <w:bottom w:w="0" w:type="dxa"/>
            </w:tcMar>
            <w:vAlign w:val="center"/>
          </w:tcPr>
          <w:p w14:paraId="3E23D42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Fixed operating costs</w:t>
            </w:r>
          </w:p>
        </w:tc>
        <w:tc>
          <w:tcPr>
            <w:tcW w:w="919" w:type="pct"/>
            <w:shd w:val="clear" w:color="auto" w:fill="auto"/>
            <w:tcMar>
              <w:top w:w="0" w:type="dxa"/>
              <w:bottom w:w="0" w:type="dxa"/>
            </w:tcMar>
            <w:vAlign w:val="center"/>
          </w:tcPr>
          <w:p w14:paraId="7F8E6EA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47,218</w:t>
            </w:r>
          </w:p>
        </w:tc>
        <w:tc>
          <w:tcPr>
            <w:tcW w:w="924" w:type="pct"/>
            <w:shd w:val="clear" w:color="auto" w:fill="auto"/>
            <w:tcMar>
              <w:top w:w="0" w:type="dxa"/>
              <w:bottom w:w="0" w:type="dxa"/>
            </w:tcMar>
            <w:vAlign w:val="center"/>
          </w:tcPr>
          <w:p w14:paraId="1638B78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w:t>
            </w:r>
          </w:p>
        </w:tc>
      </w:tr>
      <w:tr w:rsidR="00112A52" w:rsidRPr="00185375" w14:paraId="1C513097" w14:textId="77777777" w:rsidTr="00316A94">
        <w:trPr>
          <w:jc w:val="center"/>
        </w:trPr>
        <w:tc>
          <w:tcPr>
            <w:tcW w:w="312" w:type="pct"/>
            <w:shd w:val="clear" w:color="auto" w:fill="auto"/>
            <w:tcMar>
              <w:top w:w="0" w:type="dxa"/>
              <w:bottom w:w="0" w:type="dxa"/>
            </w:tcMar>
            <w:vAlign w:val="center"/>
          </w:tcPr>
          <w:p w14:paraId="2A09D85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2845" w:type="pct"/>
            <w:shd w:val="clear" w:color="auto" w:fill="auto"/>
            <w:tcMar>
              <w:top w:w="0" w:type="dxa"/>
              <w:bottom w:w="0" w:type="dxa"/>
            </w:tcMar>
            <w:vAlign w:val="center"/>
          </w:tcPr>
          <w:p w14:paraId="56BDA0D4"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Salary expenses</w:t>
            </w:r>
          </w:p>
        </w:tc>
        <w:tc>
          <w:tcPr>
            <w:tcW w:w="919" w:type="pct"/>
            <w:shd w:val="clear" w:color="auto" w:fill="auto"/>
            <w:tcMar>
              <w:top w:w="0" w:type="dxa"/>
              <w:bottom w:w="0" w:type="dxa"/>
            </w:tcMar>
            <w:vAlign w:val="center"/>
          </w:tcPr>
          <w:p w14:paraId="43CFBE5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22,376</w:t>
            </w:r>
          </w:p>
        </w:tc>
        <w:tc>
          <w:tcPr>
            <w:tcW w:w="924" w:type="pct"/>
            <w:shd w:val="clear" w:color="auto" w:fill="auto"/>
            <w:tcMar>
              <w:top w:w="0" w:type="dxa"/>
              <w:bottom w:w="0" w:type="dxa"/>
            </w:tcMar>
            <w:vAlign w:val="center"/>
          </w:tcPr>
          <w:p w14:paraId="13C58A24"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8%</w:t>
            </w:r>
          </w:p>
        </w:tc>
      </w:tr>
      <w:tr w:rsidR="00112A52" w:rsidRPr="00185375" w14:paraId="78F2AFE8" w14:textId="77777777" w:rsidTr="00316A94">
        <w:trPr>
          <w:jc w:val="center"/>
        </w:trPr>
        <w:tc>
          <w:tcPr>
            <w:tcW w:w="312" w:type="pct"/>
            <w:shd w:val="clear" w:color="auto" w:fill="auto"/>
            <w:tcMar>
              <w:top w:w="0" w:type="dxa"/>
              <w:bottom w:w="0" w:type="dxa"/>
            </w:tcMar>
            <w:vAlign w:val="center"/>
          </w:tcPr>
          <w:p w14:paraId="71C1DC7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2845" w:type="pct"/>
            <w:shd w:val="clear" w:color="auto" w:fill="auto"/>
            <w:tcMar>
              <w:top w:w="0" w:type="dxa"/>
              <w:bottom w:w="0" w:type="dxa"/>
            </w:tcMar>
            <w:vAlign w:val="center"/>
          </w:tcPr>
          <w:p w14:paraId="353358E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Marketing and branding costs</w:t>
            </w:r>
          </w:p>
        </w:tc>
        <w:tc>
          <w:tcPr>
            <w:tcW w:w="919" w:type="pct"/>
            <w:shd w:val="clear" w:color="auto" w:fill="auto"/>
            <w:tcMar>
              <w:top w:w="0" w:type="dxa"/>
              <w:bottom w:w="0" w:type="dxa"/>
            </w:tcMar>
            <w:vAlign w:val="center"/>
          </w:tcPr>
          <w:p w14:paraId="0DE6A569"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1,775</w:t>
            </w:r>
          </w:p>
        </w:tc>
        <w:tc>
          <w:tcPr>
            <w:tcW w:w="924" w:type="pct"/>
            <w:shd w:val="clear" w:color="auto" w:fill="auto"/>
            <w:tcMar>
              <w:top w:w="0" w:type="dxa"/>
              <w:bottom w:w="0" w:type="dxa"/>
            </w:tcMar>
            <w:vAlign w:val="center"/>
          </w:tcPr>
          <w:p w14:paraId="64645A8D"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7D2BDB42" w14:textId="77777777" w:rsidTr="00316A94">
        <w:trPr>
          <w:jc w:val="center"/>
        </w:trPr>
        <w:tc>
          <w:tcPr>
            <w:tcW w:w="312" w:type="pct"/>
            <w:shd w:val="clear" w:color="auto" w:fill="auto"/>
            <w:tcMar>
              <w:top w:w="0" w:type="dxa"/>
              <w:bottom w:w="0" w:type="dxa"/>
            </w:tcMar>
            <w:vAlign w:val="center"/>
          </w:tcPr>
          <w:p w14:paraId="11534B93"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2845" w:type="pct"/>
            <w:shd w:val="clear" w:color="auto" w:fill="auto"/>
            <w:tcMar>
              <w:top w:w="0" w:type="dxa"/>
              <w:bottom w:w="0" w:type="dxa"/>
            </w:tcMar>
            <w:vAlign w:val="center"/>
          </w:tcPr>
          <w:p w14:paraId="4386F64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Financial expenses</w:t>
            </w:r>
          </w:p>
        </w:tc>
        <w:tc>
          <w:tcPr>
            <w:tcW w:w="919" w:type="pct"/>
            <w:shd w:val="clear" w:color="auto" w:fill="auto"/>
            <w:tcMar>
              <w:top w:w="0" w:type="dxa"/>
              <w:bottom w:w="0" w:type="dxa"/>
            </w:tcMar>
            <w:vAlign w:val="center"/>
          </w:tcPr>
          <w:p w14:paraId="2BA3049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7,817</w:t>
            </w:r>
          </w:p>
        </w:tc>
        <w:tc>
          <w:tcPr>
            <w:tcW w:w="924" w:type="pct"/>
            <w:shd w:val="clear" w:color="auto" w:fill="auto"/>
            <w:tcMar>
              <w:top w:w="0" w:type="dxa"/>
              <w:bottom w:w="0" w:type="dxa"/>
            </w:tcMar>
            <w:vAlign w:val="center"/>
          </w:tcPr>
          <w:p w14:paraId="27F500C9"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w:t>
            </w:r>
          </w:p>
        </w:tc>
      </w:tr>
      <w:tr w:rsidR="00112A52" w:rsidRPr="00185375" w14:paraId="58DDFCE9" w14:textId="77777777" w:rsidTr="00316A94">
        <w:trPr>
          <w:jc w:val="center"/>
        </w:trPr>
        <w:tc>
          <w:tcPr>
            <w:tcW w:w="312" w:type="pct"/>
            <w:shd w:val="clear" w:color="auto" w:fill="auto"/>
            <w:tcMar>
              <w:top w:w="0" w:type="dxa"/>
              <w:bottom w:w="0" w:type="dxa"/>
            </w:tcMar>
            <w:vAlign w:val="center"/>
          </w:tcPr>
          <w:p w14:paraId="168774AE"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4</w:t>
            </w:r>
          </w:p>
        </w:tc>
        <w:tc>
          <w:tcPr>
            <w:tcW w:w="2845" w:type="pct"/>
            <w:shd w:val="clear" w:color="auto" w:fill="auto"/>
            <w:tcMar>
              <w:top w:w="0" w:type="dxa"/>
              <w:bottom w:w="0" w:type="dxa"/>
            </w:tcMar>
            <w:vAlign w:val="center"/>
          </w:tcPr>
          <w:p w14:paraId="6593FAD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Sales and conference expenses</w:t>
            </w:r>
          </w:p>
        </w:tc>
        <w:tc>
          <w:tcPr>
            <w:tcW w:w="919" w:type="pct"/>
            <w:shd w:val="clear" w:color="auto" w:fill="auto"/>
            <w:tcMar>
              <w:top w:w="0" w:type="dxa"/>
              <w:bottom w:w="0" w:type="dxa"/>
            </w:tcMar>
            <w:vAlign w:val="center"/>
          </w:tcPr>
          <w:p w14:paraId="790C17A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3,485</w:t>
            </w:r>
          </w:p>
        </w:tc>
        <w:tc>
          <w:tcPr>
            <w:tcW w:w="924" w:type="pct"/>
            <w:shd w:val="clear" w:color="auto" w:fill="auto"/>
            <w:tcMar>
              <w:top w:w="0" w:type="dxa"/>
              <w:bottom w:w="0" w:type="dxa"/>
            </w:tcMar>
            <w:vAlign w:val="center"/>
          </w:tcPr>
          <w:p w14:paraId="5FF51971"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5C0E0459" w14:textId="77777777" w:rsidTr="00316A94">
        <w:trPr>
          <w:jc w:val="center"/>
        </w:trPr>
        <w:tc>
          <w:tcPr>
            <w:tcW w:w="312" w:type="pct"/>
            <w:shd w:val="clear" w:color="auto" w:fill="auto"/>
            <w:tcMar>
              <w:top w:w="0" w:type="dxa"/>
              <w:bottom w:w="0" w:type="dxa"/>
            </w:tcMar>
            <w:vAlign w:val="center"/>
          </w:tcPr>
          <w:p w14:paraId="573C4FF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5</w:t>
            </w:r>
          </w:p>
        </w:tc>
        <w:tc>
          <w:tcPr>
            <w:tcW w:w="2845" w:type="pct"/>
            <w:shd w:val="clear" w:color="auto" w:fill="auto"/>
            <w:tcMar>
              <w:top w:w="0" w:type="dxa"/>
              <w:bottom w:w="0" w:type="dxa"/>
            </w:tcMar>
            <w:vAlign w:val="center"/>
          </w:tcPr>
          <w:p w14:paraId="3FD457A0"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Cost of outsourcing, tools and equipment, fuel, other...</w:t>
            </w:r>
          </w:p>
        </w:tc>
        <w:tc>
          <w:tcPr>
            <w:tcW w:w="919" w:type="pct"/>
            <w:shd w:val="clear" w:color="auto" w:fill="auto"/>
            <w:tcMar>
              <w:top w:w="0" w:type="dxa"/>
              <w:bottom w:w="0" w:type="dxa"/>
            </w:tcMar>
            <w:vAlign w:val="center"/>
          </w:tcPr>
          <w:p w14:paraId="503264F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5,920</w:t>
            </w:r>
          </w:p>
        </w:tc>
        <w:tc>
          <w:tcPr>
            <w:tcW w:w="924" w:type="pct"/>
            <w:shd w:val="clear" w:color="auto" w:fill="auto"/>
            <w:tcMar>
              <w:top w:w="0" w:type="dxa"/>
              <w:bottom w:w="0" w:type="dxa"/>
            </w:tcMar>
            <w:vAlign w:val="center"/>
          </w:tcPr>
          <w:p w14:paraId="38597C9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w:t>
            </w:r>
          </w:p>
        </w:tc>
      </w:tr>
      <w:tr w:rsidR="00112A52" w:rsidRPr="00185375" w14:paraId="09AF89C5" w14:textId="77777777" w:rsidTr="00316A94">
        <w:trPr>
          <w:jc w:val="center"/>
        </w:trPr>
        <w:tc>
          <w:tcPr>
            <w:tcW w:w="312" w:type="pct"/>
            <w:shd w:val="clear" w:color="auto" w:fill="auto"/>
            <w:tcMar>
              <w:top w:w="0" w:type="dxa"/>
              <w:bottom w:w="0" w:type="dxa"/>
            </w:tcMar>
            <w:vAlign w:val="center"/>
          </w:tcPr>
          <w:p w14:paraId="20C9B37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6</w:t>
            </w:r>
          </w:p>
        </w:tc>
        <w:tc>
          <w:tcPr>
            <w:tcW w:w="2845" w:type="pct"/>
            <w:shd w:val="clear" w:color="auto" w:fill="auto"/>
            <w:tcMar>
              <w:top w:w="0" w:type="dxa"/>
              <w:bottom w:w="0" w:type="dxa"/>
            </w:tcMar>
            <w:vAlign w:val="center"/>
          </w:tcPr>
          <w:p w14:paraId="74F6634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Expenses for diplomatic, guest reception, per diem, working capacity</w:t>
            </w:r>
          </w:p>
        </w:tc>
        <w:tc>
          <w:tcPr>
            <w:tcW w:w="919" w:type="pct"/>
            <w:shd w:val="clear" w:color="auto" w:fill="auto"/>
            <w:tcMar>
              <w:top w:w="0" w:type="dxa"/>
              <w:bottom w:w="0" w:type="dxa"/>
            </w:tcMar>
            <w:vAlign w:val="center"/>
          </w:tcPr>
          <w:p w14:paraId="2B4B511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1,742</w:t>
            </w:r>
          </w:p>
        </w:tc>
        <w:tc>
          <w:tcPr>
            <w:tcW w:w="924" w:type="pct"/>
            <w:shd w:val="clear" w:color="auto" w:fill="auto"/>
            <w:tcMar>
              <w:top w:w="0" w:type="dxa"/>
              <w:bottom w:w="0" w:type="dxa"/>
            </w:tcMar>
            <w:vAlign w:val="center"/>
          </w:tcPr>
          <w:p w14:paraId="0373B9E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732D4F4C" w14:textId="77777777" w:rsidTr="00316A94">
        <w:trPr>
          <w:jc w:val="center"/>
        </w:trPr>
        <w:tc>
          <w:tcPr>
            <w:tcW w:w="312" w:type="pct"/>
            <w:shd w:val="clear" w:color="auto" w:fill="auto"/>
            <w:tcMar>
              <w:top w:w="0" w:type="dxa"/>
              <w:bottom w:w="0" w:type="dxa"/>
            </w:tcMar>
            <w:vAlign w:val="center"/>
          </w:tcPr>
          <w:p w14:paraId="2E44FC8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7</w:t>
            </w:r>
          </w:p>
        </w:tc>
        <w:tc>
          <w:tcPr>
            <w:tcW w:w="2845" w:type="pct"/>
            <w:shd w:val="clear" w:color="auto" w:fill="auto"/>
            <w:tcMar>
              <w:top w:w="0" w:type="dxa"/>
              <w:bottom w:w="0" w:type="dxa"/>
            </w:tcMar>
            <w:vAlign w:val="center"/>
          </w:tcPr>
          <w:p w14:paraId="2799404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Premises costs</w:t>
            </w:r>
          </w:p>
        </w:tc>
        <w:tc>
          <w:tcPr>
            <w:tcW w:w="919" w:type="pct"/>
            <w:shd w:val="clear" w:color="auto" w:fill="auto"/>
            <w:tcMar>
              <w:top w:w="0" w:type="dxa"/>
              <w:bottom w:w="0" w:type="dxa"/>
            </w:tcMar>
            <w:vAlign w:val="center"/>
          </w:tcPr>
          <w:p w14:paraId="3D42DCB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2,465</w:t>
            </w:r>
          </w:p>
        </w:tc>
        <w:tc>
          <w:tcPr>
            <w:tcW w:w="924" w:type="pct"/>
            <w:shd w:val="clear" w:color="auto" w:fill="auto"/>
            <w:tcMar>
              <w:top w:w="0" w:type="dxa"/>
              <w:bottom w:w="0" w:type="dxa"/>
            </w:tcMar>
            <w:vAlign w:val="center"/>
          </w:tcPr>
          <w:p w14:paraId="491985C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5BCA8EF1" w14:textId="77777777" w:rsidTr="00316A94">
        <w:trPr>
          <w:jc w:val="center"/>
        </w:trPr>
        <w:tc>
          <w:tcPr>
            <w:tcW w:w="312" w:type="pct"/>
            <w:shd w:val="clear" w:color="auto" w:fill="auto"/>
            <w:tcMar>
              <w:top w:w="0" w:type="dxa"/>
              <w:bottom w:w="0" w:type="dxa"/>
            </w:tcMar>
            <w:vAlign w:val="center"/>
          </w:tcPr>
          <w:p w14:paraId="2C47FF10"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8</w:t>
            </w:r>
          </w:p>
        </w:tc>
        <w:tc>
          <w:tcPr>
            <w:tcW w:w="2845" w:type="pct"/>
            <w:shd w:val="clear" w:color="auto" w:fill="auto"/>
            <w:tcMar>
              <w:top w:w="0" w:type="dxa"/>
              <w:bottom w:w="0" w:type="dxa"/>
            </w:tcMar>
            <w:vAlign w:val="center"/>
          </w:tcPr>
          <w:p w14:paraId="6110C46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Depreciation expenses</w:t>
            </w:r>
          </w:p>
        </w:tc>
        <w:tc>
          <w:tcPr>
            <w:tcW w:w="919" w:type="pct"/>
            <w:shd w:val="clear" w:color="auto" w:fill="auto"/>
            <w:tcMar>
              <w:top w:w="0" w:type="dxa"/>
              <w:bottom w:w="0" w:type="dxa"/>
            </w:tcMar>
            <w:vAlign w:val="center"/>
          </w:tcPr>
          <w:p w14:paraId="5B4AA69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1,638</w:t>
            </w:r>
          </w:p>
        </w:tc>
        <w:tc>
          <w:tcPr>
            <w:tcW w:w="924" w:type="pct"/>
            <w:shd w:val="clear" w:color="auto" w:fill="auto"/>
            <w:tcMar>
              <w:top w:w="0" w:type="dxa"/>
              <w:bottom w:w="0" w:type="dxa"/>
            </w:tcMar>
            <w:vAlign w:val="center"/>
          </w:tcPr>
          <w:p w14:paraId="59E5B12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4B5A9121" w14:textId="77777777" w:rsidTr="00316A94">
        <w:trPr>
          <w:jc w:val="center"/>
        </w:trPr>
        <w:tc>
          <w:tcPr>
            <w:tcW w:w="312" w:type="pct"/>
            <w:shd w:val="clear" w:color="auto" w:fill="auto"/>
            <w:tcMar>
              <w:top w:w="0" w:type="dxa"/>
              <w:bottom w:w="0" w:type="dxa"/>
            </w:tcMar>
            <w:vAlign w:val="center"/>
          </w:tcPr>
          <w:p w14:paraId="04DAA8F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D</w:t>
            </w:r>
          </w:p>
        </w:tc>
        <w:tc>
          <w:tcPr>
            <w:tcW w:w="2845" w:type="pct"/>
            <w:shd w:val="clear" w:color="auto" w:fill="auto"/>
            <w:tcMar>
              <w:top w:w="0" w:type="dxa"/>
              <w:bottom w:w="0" w:type="dxa"/>
            </w:tcMar>
            <w:vAlign w:val="center"/>
          </w:tcPr>
          <w:p w14:paraId="5390D76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Variable operating costs</w:t>
            </w:r>
          </w:p>
        </w:tc>
        <w:tc>
          <w:tcPr>
            <w:tcW w:w="919" w:type="pct"/>
            <w:shd w:val="clear" w:color="auto" w:fill="auto"/>
            <w:tcMar>
              <w:top w:w="0" w:type="dxa"/>
              <w:bottom w:w="0" w:type="dxa"/>
            </w:tcMar>
            <w:vAlign w:val="center"/>
          </w:tcPr>
          <w:p w14:paraId="76A49C2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11,903</w:t>
            </w:r>
          </w:p>
        </w:tc>
        <w:tc>
          <w:tcPr>
            <w:tcW w:w="924" w:type="pct"/>
            <w:shd w:val="clear" w:color="auto" w:fill="auto"/>
            <w:tcMar>
              <w:top w:w="0" w:type="dxa"/>
              <w:bottom w:w="0" w:type="dxa"/>
            </w:tcMar>
            <w:vAlign w:val="center"/>
          </w:tcPr>
          <w:p w14:paraId="2407692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4%</w:t>
            </w:r>
          </w:p>
        </w:tc>
      </w:tr>
      <w:tr w:rsidR="00112A52" w:rsidRPr="00185375" w14:paraId="2D511759" w14:textId="77777777" w:rsidTr="00316A94">
        <w:trPr>
          <w:jc w:val="center"/>
        </w:trPr>
        <w:tc>
          <w:tcPr>
            <w:tcW w:w="312" w:type="pct"/>
            <w:shd w:val="clear" w:color="auto" w:fill="auto"/>
            <w:tcMar>
              <w:top w:w="0" w:type="dxa"/>
              <w:bottom w:w="0" w:type="dxa"/>
            </w:tcMar>
            <w:vAlign w:val="center"/>
          </w:tcPr>
          <w:p w14:paraId="6C7E7827"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lastRenderedPageBreak/>
              <w:t>1</w:t>
            </w:r>
          </w:p>
        </w:tc>
        <w:tc>
          <w:tcPr>
            <w:tcW w:w="2845" w:type="pct"/>
            <w:shd w:val="clear" w:color="auto" w:fill="auto"/>
            <w:tcMar>
              <w:top w:w="0" w:type="dxa"/>
              <w:bottom w:w="0" w:type="dxa"/>
            </w:tcMar>
            <w:vAlign w:val="center"/>
          </w:tcPr>
          <w:p w14:paraId="4AD44FD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Salary expenses</w:t>
            </w:r>
          </w:p>
        </w:tc>
        <w:tc>
          <w:tcPr>
            <w:tcW w:w="919" w:type="pct"/>
            <w:shd w:val="clear" w:color="auto" w:fill="auto"/>
            <w:tcMar>
              <w:top w:w="0" w:type="dxa"/>
              <w:bottom w:w="0" w:type="dxa"/>
            </w:tcMar>
            <w:vAlign w:val="center"/>
          </w:tcPr>
          <w:p w14:paraId="4E083663" w14:textId="09C9DC55"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6,587</w:t>
            </w:r>
          </w:p>
        </w:tc>
        <w:tc>
          <w:tcPr>
            <w:tcW w:w="924" w:type="pct"/>
            <w:shd w:val="clear" w:color="auto" w:fill="auto"/>
            <w:tcMar>
              <w:top w:w="0" w:type="dxa"/>
              <w:bottom w:w="0" w:type="dxa"/>
            </w:tcMar>
            <w:vAlign w:val="center"/>
          </w:tcPr>
          <w:p w14:paraId="2C1B45C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w:t>
            </w:r>
          </w:p>
        </w:tc>
      </w:tr>
      <w:tr w:rsidR="00112A52" w:rsidRPr="00185375" w14:paraId="4C0EB0D6" w14:textId="77777777" w:rsidTr="00316A94">
        <w:trPr>
          <w:jc w:val="center"/>
        </w:trPr>
        <w:tc>
          <w:tcPr>
            <w:tcW w:w="312" w:type="pct"/>
            <w:shd w:val="clear" w:color="auto" w:fill="auto"/>
            <w:tcMar>
              <w:top w:w="0" w:type="dxa"/>
              <w:bottom w:w="0" w:type="dxa"/>
            </w:tcMar>
            <w:vAlign w:val="center"/>
          </w:tcPr>
          <w:p w14:paraId="1AF9775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2845" w:type="pct"/>
            <w:shd w:val="clear" w:color="auto" w:fill="auto"/>
            <w:tcMar>
              <w:top w:w="0" w:type="dxa"/>
              <w:bottom w:w="0" w:type="dxa"/>
            </w:tcMar>
            <w:vAlign w:val="center"/>
          </w:tcPr>
          <w:p w14:paraId="6F632AE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Marketing and branding costs</w:t>
            </w:r>
          </w:p>
        </w:tc>
        <w:tc>
          <w:tcPr>
            <w:tcW w:w="919" w:type="pct"/>
            <w:shd w:val="clear" w:color="auto" w:fill="auto"/>
            <w:tcMar>
              <w:top w:w="0" w:type="dxa"/>
              <w:bottom w:w="0" w:type="dxa"/>
            </w:tcMar>
            <w:vAlign w:val="center"/>
          </w:tcPr>
          <w:p w14:paraId="4A72B16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2,283</w:t>
            </w:r>
          </w:p>
        </w:tc>
        <w:tc>
          <w:tcPr>
            <w:tcW w:w="924" w:type="pct"/>
            <w:shd w:val="clear" w:color="auto" w:fill="auto"/>
            <w:tcMar>
              <w:top w:w="0" w:type="dxa"/>
              <w:bottom w:w="0" w:type="dxa"/>
            </w:tcMar>
            <w:vAlign w:val="center"/>
          </w:tcPr>
          <w:p w14:paraId="2D0C4DBA"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0DF6BF2E" w14:textId="77777777" w:rsidTr="00316A94">
        <w:trPr>
          <w:jc w:val="center"/>
        </w:trPr>
        <w:tc>
          <w:tcPr>
            <w:tcW w:w="312" w:type="pct"/>
            <w:shd w:val="clear" w:color="auto" w:fill="auto"/>
            <w:tcMar>
              <w:top w:w="0" w:type="dxa"/>
              <w:bottom w:w="0" w:type="dxa"/>
            </w:tcMar>
            <w:vAlign w:val="center"/>
          </w:tcPr>
          <w:p w14:paraId="6AA2DA8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2845" w:type="pct"/>
            <w:shd w:val="clear" w:color="auto" w:fill="auto"/>
            <w:tcMar>
              <w:top w:w="0" w:type="dxa"/>
              <w:bottom w:w="0" w:type="dxa"/>
            </w:tcMar>
            <w:vAlign w:val="center"/>
          </w:tcPr>
          <w:p w14:paraId="04A6769E"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Sales and conference expenses</w:t>
            </w:r>
          </w:p>
        </w:tc>
        <w:tc>
          <w:tcPr>
            <w:tcW w:w="919" w:type="pct"/>
            <w:shd w:val="clear" w:color="auto" w:fill="auto"/>
            <w:tcMar>
              <w:top w:w="0" w:type="dxa"/>
              <w:bottom w:w="0" w:type="dxa"/>
            </w:tcMar>
            <w:vAlign w:val="center"/>
          </w:tcPr>
          <w:p w14:paraId="01212B6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3,033</w:t>
            </w:r>
          </w:p>
        </w:tc>
        <w:tc>
          <w:tcPr>
            <w:tcW w:w="924" w:type="pct"/>
            <w:shd w:val="clear" w:color="auto" w:fill="auto"/>
            <w:tcMar>
              <w:top w:w="0" w:type="dxa"/>
              <w:bottom w:w="0" w:type="dxa"/>
            </w:tcMar>
            <w:vAlign w:val="center"/>
          </w:tcPr>
          <w:p w14:paraId="708A8AAB"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r w:rsidR="00112A52" w:rsidRPr="00185375" w14:paraId="4B8B1BD7" w14:textId="77777777" w:rsidTr="00316A94">
        <w:trPr>
          <w:jc w:val="center"/>
        </w:trPr>
        <w:tc>
          <w:tcPr>
            <w:tcW w:w="312" w:type="pct"/>
            <w:shd w:val="clear" w:color="auto" w:fill="auto"/>
            <w:tcMar>
              <w:top w:w="0" w:type="dxa"/>
              <w:bottom w:w="0" w:type="dxa"/>
            </w:tcMar>
            <w:vAlign w:val="center"/>
          </w:tcPr>
          <w:p w14:paraId="4E110CD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E</w:t>
            </w:r>
          </w:p>
        </w:tc>
        <w:tc>
          <w:tcPr>
            <w:tcW w:w="2845" w:type="pct"/>
            <w:shd w:val="clear" w:color="auto" w:fill="auto"/>
            <w:tcMar>
              <w:top w:w="0" w:type="dxa"/>
              <w:bottom w:w="0" w:type="dxa"/>
            </w:tcMar>
            <w:vAlign w:val="center"/>
          </w:tcPr>
          <w:p w14:paraId="7F27939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Other profits</w:t>
            </w:r>
          </w:p>
        </w:tc>
        <w:tc>
          <w:tcPr>
            <w:tcW w:w="919" w:type="pct"/>
            <w:shd w:val="clear" w:color="auto" w:fill="auto"/>
            <w:tcMar>
              <w:top w:w="0" w:type="dxa"/>
              <w:bottom w:w="0" w:type="dxa"/>
            </w:tcMar>
            <w:vAlign w:val="center"/>
          </w:tcPr>
          <w:p w14:paraId="2C55D3C2"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w:t>
            </w:r>
          </w:p>
        </w:tc>
        <w:tc>
          <w:tcPr>
            <w:tcW w:w="924" w:type="pct"/>
            <w:shd w:val="clear" w:color="auto" w:fill="auto"/>
            <w:tcMar>
              <w:top w:w="0" w:type="dxa"/>
              <w:bottom w:w="0" w:type="dxa"/>
            </w:tcMar>
            <w:vAlign w:val="center"/>
          </w:tcPr>
          <w:p w14:paraId="73A9937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0%</w:t>
            </w:r>
          </w:p>
        </w:tc>
      </w:tr>
      <w:tr w:rsidR="00112A52" w:rsidRPr="00185375" w14:paraId="4A52BB77" w14:textId="77777777" w:rsidTr="00316A94">
        <w:trPr>
          <w:jc w:val="center"/>
        </w:trPr>
        <w:tc>
          <w:tcPr>
            <w:tcW w:w="312" w:type="pct"/>
            <w:shd w:val="clear" w:color="auto" w:fill="auto"/>
            <w:tcMar>
              <w:top w:w="0" w:type="dxa"/>
              <w:bottom w:w="0" w:type="dxa"/>
            </w:tcMar>
            <w:vAlign w:val="center"/>
          </w:tcPr>
          <w:p w14:paraId="32B7D84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F</w:t>
            </w:r>
          </w:p>
        </w:tc>
        <w:tc>
          <w:tcPr>
            <w:tcW w:w="2845" w:type="pct"/>
            <w:shd w:val="clear" w:color="auto" w:fill="auto"/>
            <w:tcMar>
              <w:top w:w="0" w:type="dxa"/>
              <w:bottom w:w="0" w:type="dxa"/>
            </w:tcMar>
            <w:vAlign w:val="center"/>
          </w:tcPr>
          <w:p w14:paraId="51F0049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Profit before tax</w:t>
            </w:r>
          </w:p>
        </w:tc>
        <w:tc>
          <w:tcPr>
            <w:tcW w:w="919" w:type="pct"/>
            <w:shd w:val="clear" w:color="auto" w:fill="auto"/>
            <w:tcMar>
              <w:top w:w="0" w:type="dxa"/>
              <w:bottom w:w="0" w:type="dxa"/>
            </w:tcMar>
            <w:vAlign w:val="center"/>
          </w:tcPr>
          <w:p w14:paraId="7FECD990"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3,000</w:t>
            </w:r>
          </w:p>
        </w:tc>
        <w:tc>
          <w:tcPr>
            <w:tcW w:w="924" w:type="pct"/>
            <w:shd w:val="clear" w:color="auto" w:fill="auto"/>
            <w:tcMar>
              <w:top w:w="0" w:type="dxa"/>
              <w:bottom w:w="0" w:type="dxa"/>
            </w:tcMar>
            <w:vAlign w:val="center"/>
          </w:tcPr>
          <w:p w14:paraId="3C6358C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w:t>
            </w:r>
          </w:p>
        </w:tc>
      </w:tr>
    </w:tbl>
    <w:p w14:paraId="62EE9BE5" w14:textId="77777777" w:rsidR="00112A52" w:rsidRPr="00185375" w:rsidRDefault="004F5A41" w:rsidP="00316A94">
      <w:pPr>
        <w:numPr>
          <w:ilvl w:val="0"/>
          <w:numId w:val="2"/>
        </w:numPr>
        <w:pBdr>
          <w:top w:val="nil"/>
          <w:left w:val="nil"/>
          <w:bottom w:val="nil"/>
          <w:right w:val="nil"/>
          <w:between w:val="nil"/>
        </w:pBdr>
        <w:tabs>
          <w:tab w:val="left" w:pos="432"/>
          <w:tab w:val="left" w:pos="1925"/>
        </w:tabs>
        <w:spacing w:after="120" w:line="360" w:lineRule="auto"/>
        <w:ind w:left="0" w:firstLine="0"/>
        <w:rPr>
          <w:rFonts w:ascii="Arial" w:eastAsia="Arial" w:hAnsi="Arial" w:cs="Arial"/>
          <w:color w:val="010000"/>
          <w:sz w:val="20"/>
          <w:szCs w:val="20"/>
        </w:rPr>
      </w:pPr>
      <w:r w:rsidRPr="00185375">
        <w:rPr>
          <w:rFonts w:ascii="Arial" w:hAnsi="Arial" w:cs="Arial"/>
          <w:color w:val="010000"/>
          <w:sz w:val="20"/>
        </w:rPr>
        <w:t>Report in 2023 of the Supervisory Board.</w:t>
      </w:r>
    </w:p>
    <w:p w14:paraId="76DF8DF5" w14:textId="77777777" w:rsidR="00112A52" w:rsidRPr="00185375" w:rsidRDefault="004F5A41" w:rsidP="00E33BB2">
      <w:pPr>
        <w:numPr>
          <w:ilvl w:val="0"/>
          <w:numId w:val="2"/>
        </w:numPr>
        <w:pBdr>
          <w:top w:val="nil"/>
          <w:left w:val="nil"/>
          <w:bottom w:val="nil"/>
          <w:right w:val="nil"/>
          <w:between w:val="nil"/>
        </w:pBdr>
        <w:tabs>
          <w:tab w:val="left" w:pos="432"/>
          <w:tab w:val="left" w:pos="1925"/>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Audited Separate Financial Statements and Consolidated Financial Statements 2023.</w:t>
      </w:r>
    </w:p>
    <w:p w14:paraId="7955F42D"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2: Approve the selection of audit company for the fiscal year 2024 as follows:</w:t>
      </w:r>
    </w:p>
    <w:p w14:paraId="71854C12" w14:textId="77777777" w:rsidR="00112A52" w:rsidRPr="00185375" w:rsidRDefault="004F5A41" w:rsidP="00E33BB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Criteria for selecting an independent audit company:</w:t>
      </w:r>
    </w:p>
    <w:p w14:paraId="21C433C5" w14:textId="77777777" w:rsidR="00112A52" w:rsidRPr="00185375" w:rsidRDefault="004F5A41" w:rsidP="00E33BB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Being a company legally operating in Vietnam and approved by the Ministry of Finance for auditing firms and practicing auditors to audit public interest entities in 2024;</w:t>
      </w:r>
    </w:p>
    <w:p w14:paraId="7F02CF53" w14:textId="77777777" w:rsidR="00112A52" w:rsidRPr="00185375" w:rsidRDefault="004F5A41" w:rsidP="00E33BB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Have experience auditing companies in the same business field;</w:t>
      </w:r>
    </w:p>
    <w:p w14:paraId="29D89D4A" w14:textId="77777777" w:rsidR="00112A52" w:rsidRPr="00185375" w:rsidRDefault="004F5A41" w:rsidP="00E33BB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Have a team of honest, reputable, highly qualified and experienced auditors to ensure the quality and progress of Financial Statements audits;</w:t>
      </w:r>
    </w:p>
    <w:p w14:paraId="7616D65A" w14:textId="77777777" w:rsidR="00112A52" w:rsidRPr="00185375" w:rsidRDefault="004F5A41" w:rsidP="00E33BB2">
      <w:pPr>
        <w:numPr>
          <w:ilvl w:val="0"/>
          <w:numId w:val="5"/>
        </w:numPr>
        <w:pBdr>
          <w:top w:val="nil"/>
          <w:left w:val="nil"/>
          <w:bottom w:val="nil"/>
          <w:right w:val="nil"/>
          <w:between w:val="nil"/>
        </w:pBdr>
        <w:tabs>
          <w:tab w:val="left" w:pos="432"/>
          <w:tab w:val="right" w:pos="7345"/>
          <w:tab w:val="center" w:pos="7585"/>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Have reasonable costs, consistent with the content, scope and progress of the audit required by the Company</w:t>
      </w:r>
    </w:p>
    <w:p w14:paraId="652A3CEB" w14:textId="77777777" w:rsidR="00112A52" w:rsidRPr="00185375" w:rsidRDefault="004F5A41" w:rsidP="00E33BB2">
      <w:pPr>
        <w:numPr>
          <w:ilvl w:val="0"/>
          <w:numId w:val="3"/>
        </w:numPr>
        <w:pBdr>
          <w:top w:val="nil"/>
          <w:left w:val="nil"/>
          <w:bottom w:val="nil"/>
          <w:right w:val="nil"/>
          <w:between w:val="nil"/>
        </w:pBdr>
        <w:tabs>
          <w:tab w:val="left" w:pos="432"/>
          <w:tab w:val="right" w:pos="6823"/>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Approve the list of independent audit companies:</w:t>
      </w:r>
    </w:p>
    <w:p w14:paraId="572F5B59" w14:textId="604EB7C2" w:rsidR="00112A52" w:rsidRPr="00185375" w:rsidRDefault="004F5A41" w:rsidP="00E33BB2">
      <w:pPr>
        <w:pBdr>
          <w:top w:val="nil"/>
          <w:left w:val="nil"/>
          <w:bottom w:val="nil"/>
          <w:right w:val="nil"/>
          <w:between w:val="nil"/>
        </w:pBdr>
        <w:tabs>
          <w:tab w:val="left" w:pos="432"/>
          <w:tab w:val="center" w:pos="7585"/>
          <w:tab w:val="right" w:pos="10470"/>
          <w:tab w:val="right" w:pos="10821"/>
        </w:tabs>
        <w:spacing w:after="120" w:line="360" w:lineRule="auto"/>
        <w:jc w:val="both"/>
        <w:rPr>
          <w:rFonts w:ascii="Arial" w:eastAsia="Arial" w:hAnsi="Arial" w:cs="Arial"/>
          <w:color w:val="010000"/>
          <w:sz w:val="20"/>
          <w:szCs w:val="20"/>
        </w:rPr>
      </w:pPr>
      <w:r w:rsidRPr="00185375">
        <w:rPr>
          <w:rFonts w:ascii="Arial" w:hAnsi="Arial" w:cs="Arial"/>
          <w:color w:val="010000"/>
          <w:sz w:val="20"/>
        </w:rPr>
        <w:t>Based on the criteria for selecting an independent audit company above, the General Meeting of Shareholders approves</w:t>
      </w:r>
      <w:r w:rsidR="00186078" w:rsidRPr="00185375">
        <w:rPr>
          <w:rFonts w:ascii="Arial" w:hAnsi="Arial" w:cs="Arial"/>
          <w:color w:val="010000"/>
          <w:sz w:val="20"/>
        </w:rPr>
        <w:t xml:space="preserve"> </w:t>
      </w:r>
      <w:r w:rsidRPr="00185375">
        <w:rPr>
          <w:rFonts w:ascii="Arial" w:hAnsi="Arial" w:cs="Arial"/>
          <w:color w:val="010000"/>
          <w:sz w:val="20"/>
        </w:rPr>
        <w:t>the list of independent audit companies and authorize the Company's Board of Directors to select</w:t>
      </w:r>
      <w:r w:rsidR="00186078" w:rsidRPr="00185375">
        <w:rPr>
          <w:rFonts w:ascii="Arial" w:hAnsi="Arial" w:cs="Arial"/>
          <w:color w:val="010000"/>
          <w:sz w:val="20"/>
        </w:rPr>
        <w:t xml:space="preserve"> </w:t>
      </w:r>
      <w:r w:rsidRPr="00185375">
        <w:rPr>
          <w:rFonts w:ascii="Arial" w:hAnsi="Arial" w:cs="Arial"/>
          <w:color w:val="010000"/>
          <w:sz w:val="20"/>
        </w:rPr>
        <w:t>01 of 04 independent audit companies below to audit the Financial Statements 2024 of the Company:</w:t>
      </w:r>
    </w:p>
    <w:p w14:paraId="4ED045D7" w14:textId="77777777" w:rsidR="00112A52" w:rsidRPr="00185375" w:rsidRDefault="004F5A41" w:rsidP="00E33BB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A&amp;C Auditing and Consulting Company Limited.</w:t>
      </w:r>
    </w:p>
    <w:p w14:paraId="27143827" w14:textId="77777777" w:rsidR="00112A52" w:rsidRPr="00185375" w:rsidRDefault="004F5A41" w:rsidP="00E33BB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DFK Vietnam Auditing Co., Ltd.</w:t>
      </w:r>
    </w:p>
    <w:p w14:paraId="4DBAEAFC" w14:textId="77777777" w:rsidR="00112A52" w:rsidRPr="00185375" w:rsidRDefault="004F5A41" w:rsidP="00E33BB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Southern Auditing &amp; Accounting Financial Consulting Services Company Limited.</w:t>
      </w:r>
    </w:p>
    <w:p w14:paraId="16D5B5F1" w14:textId="77777777" w:rsidR="00112A52" w:rsidRPr="00185375" w:rsidRDefault="004F5A41" w:rsidP="00E33BB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RSM Vietnam Auditing &amp; Consulting Limited.</w:t>
      </w:r>
    </w:p>
    <w:p w14:paraId="1FB1A3B6" w14:textId="77777777" w:rsidR="00112A52" w:rsidRPr="00185375" w:rsidRDefault="004F5A41" w:rsidP="00E33BB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To facilitate the audit of Financial Statements, in case the Company cannot negotiate the price and audit conditions with the above audit companies or in case the Company needs to change the audit company. The General Meeting of Shareholders authorized the Board of Directors to proactively decide to select another independent audit company based on the criteria in Section 1 and on the list of audit companies approved by the State Securities Commission to review the semi-annual Financial Statements and audit the Financial Statements 2024.</w:t>
      </w:r>
    </w:p>
    <w:p w14:paraId="7CE249B1" w14:textId="15653EE5"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3: Approve the Investment Plan and Business Plan for 2024 as follows:</w:t>
      </w:r>
      <w:r w:rsidR="00316A94" w:rsidRPr="00185375">
        <w:rPr>
          <w:rFonts w:ascii="Arial" w:hAnsi="Arial" w:cs="Arial"/>
          <w:color w:val="010000"/>
          <w:sz w:val="20"/>
        </w:rPr>
        <w:t xml:space="preserve"> </w:t>
      </w:r>
    </w:p>
    <w:p w14:paraId="1031FD92" w14:textId="77777777" w:rsidR="00112A52" w:rsidRPr="00185375" w:rsidRDefault="004F5A41" w:rsidP="00E33BB2">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Investment plan and business plan for 2024:</w:t>
      </w:r>
    </w:p>
    <w:tbl>
      <w:tblPr>
        <w:tblStyle w:val="a1"/>
        <w:tblW w:w="5000" w:type="pct"/>
        <w:tblLook w:val="0400" w:firstRow="0" w:lastRow="0" w:firstColumn="0" w:lastColumn="0" w:noHBand="0" w:noVBand="1"/>
      </w:tblPr>
      <w:tblGrid>
        <w:gridCol w:w="675"/>
        <w:gridCol w:w="6418"/>
        <w:gridCol w:w="1924"/>
      </w:tblGrid>
      <w:tr w:rsidR="00112A52" w:rsidRPr="00185375" w14:paraId="76E06FA8" w14:textId="77777777" w:rsidTr="00316A94">
        <w:tc>
          <w:tcPr>
            <w:tcW w:w="374" w:type="pct"/>
            <w:tcBorders>
              <w:top w:val="single" w:sz="4" w:space="0" w:color="000000"/>
              <w:left w:val="single" w:sz="4" w:space="0" w:color="000000"/>
            </w:tcBorders>
            <w:shd w:val="clear" w:color="auto" w:fill="auto"/>
            <w:tcMar>
              <w:top w:w="0" w:type="dxa"/>
              <w:bottom w:w="0" w:type="dxa"/>
            </w:tcMar>
            <w:vAlign w:val="center"/>
          </w:tcPr>
          <w:p w14:paraId="68D97DA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lastRenderedPageBreak/>
              <w:t>No.</w:t>
            </w:r>
          </w:p>
        </w:tc>
        <w:tc>
          <w:tcPr>
            <w:tcW w:w="3559" w:type="pct"/>
            <w:tcBorders>
              <w:top w:val="single" w:sz="4" w:space="0" w:color="000000"/>
              <w:left w:val="single" w:sz="4" w:space="0" w:color="000000"/>
            </w:tcBorders>
            <w:shd w:val="clear" w:color="auto" w:fill="auto"/>
            <w:tcMar>
              <w:top w:w="0" w:type="dxa"/>
              <w:bottom w:w="0" w:type="dxa"/>
            </w:tcMar>
            <w:vAlign w:val="center"/>
          </w:tcPr>
          <w:p w14:paraId="7AB6C25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Content</w:t>
            </w:r>
          </w:p>
        </w:tc>
        <w:tc>
          <w:tcPr>
            <w:tcW w:w="10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4B614C"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2024 Plan</w:t>
            </w:r>
          </w:p>
        </w:tc>
      </w:tr>
      <w:tr w:rsidR="00112A52" w:rsidRPr="00185375" w14:paraId="70D03A61" w14:textId="77777777" w:rsidTr="00185375">
        <w:tc>
          <w:tcPr>
            <w:tcW w:w="37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B287213"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3559"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79AD080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Net revenue</w:t>
            </w:r>
          </w:p>
        </w:tc>
        <w:tc>
          <w:tcPr>
            <w:tcW w:w="10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1B1A6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275,072</w:t>
            </w:r>
          </w:p>
        </w:tc>
      </w:tr>
      <w:tr w:rsidR="00112A52" w:rsidRPr="00185375" w14:paraId="584354DF" w14:textId="77777777" w:rsidTr="00185375">
        <w:tc>
          <w:tcPr>
            <w:tcW w:w="37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5C8329"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35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20B9B4"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Revenue from commercial goods</w:t>
            </w:r>
          </w:p>
        </w:tc>
        <w:tc>
          <w:tcPr>
            <w:tcW w:w="1067"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5180E0F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102,252</w:t>
            </w:r>
          </w:p>
        </w:tc>
      </w:tr>
      <w:tr w:rsidR="00112A52" w:rsidRPr="00185375" w14:paraId="75A4F4A6" w14:textId="77777777" w:rsidTr="00185375">
        <w:tc>
          <w:tcPr>
            <w:tcW w:w="37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1BD37E"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35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8D5282"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Revenue from manufactured goods</w:t>
            </w:r>
          </w:p>
        </w:tc>
        <w:tc>
          <w:tcPr>
            <w:tcW w:w="1067"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30A2EE83"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170,660</w:t>
            </w:r>
          </w:p>
        </w:tc>
      </w:tr>
      <w:tr w:rsidR="00112A52" w:rsidRPr="00185375" w14:paraId="492B4242" w14:textId="77777777" w:rsidTr="00185375">
        <w:tc>
          <w:tcPr>
            <w:tcW w:w="37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4A7512"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355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7A1B9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Revenue from the provision of services</w:t>
            </w:r>
          </w:p>
        </w:tc>
        <w:tc>
          <w:tcPr>
            <w:tcW w:w="1067" w:type="pct"/>
            <w:tcBorders>
              <w:top w:val="single" w:sz="4" w:space="0" w:color="000000"/>
              <w:left w:val="single" w:sz="4" w:space="0" w:color="auto"/>
              <w:right w:val="single" w:sz="4" w:space="0" w:color="000000"/>
            </w:tcBorders>
            <w:shd w:val="clear" w:color="auto" w:fill="auto"/>
            <w:tcMar>
              <w:top w:w="0" w:type="dxa"/>
              <w:bottom w:w="0" w:type="dxa"/>
            </w:tcMar>
            <w:vAlign w:val="center"/>
          </w:tcPr>
          <w:p w14:paraId="32823B57"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2,160</w:t>
            </w:r>
          </w:p>
        </w:tc>
      </w:tr>
      <w:tr w:rsidR="00112A52" w:rsidRPr="00185375" w14:paraId="6A68C410" w14:textId="77777777" w:rsidTr="00185375">
        <w:tc>
          <w:tcPr>
            <w:tcW w:w="374" w:type="pct"/>
            <w:tcBorders>
              <w:top w:val="single" w:sz="4" w:space="0" w:color="auto"/>
              <w:left w:val="single" w:sz="4" w:space="0" w:color="000000"/>
            </w:tcBorders>
            <w:shd w:val="clear" w:color="auto" w:fill="auto"/>
            <w:tcMar>
              <w:top w:w="0" w:type="dxa"/>
              <w:bottom w:w="0" w:type="dxa"/>
            </w:tcMar>
            <w:vAlign w:val="center"/>
          </w:tcPr>
          <w:p w14:paraId="1B99CD0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3559" w:type="pct"/>
            <w:tcBorders>
              <w:top w:val="single" w:sz="4" w:space="0" w:color="auto"/>
              <w:left w:val="single" w:sz="4" w:space="0" w:color="000000"/>
            </w:tcBorders>
            <w:shd w:val="clear" w:color="auto" w:fill="auto"/>
            <w:tcMar>
              <w:top w:w="0" w:type="dxa"/>
              <w:bottom w:w="0" w:type="dxa"/>
            </w:tcMar>
            <w:vAlign w:val="center"/>
          </w:tcPr>
          <w:p w14:paraId="765B19F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Total profit before tax</w:t>
            </w:r>
          </w:p>
        </w:tc>
        <w:tc>
          <w:tcPr>
            <w:tcW w:w="10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013C08"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3,000</w:t>
            </w:r>
          </w:p>
        </w:tc>
      </w:tr>
      <w:tr w:rsidR="00112A52" w:rsidRPr="00185375" w14:paraId="6919E9C9" w14:textId="77777777" w:rsidTr="00316A94">
        <w:tc>
          <w:tcPr>
            <w:tcW w:w="3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68CC0"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35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C29404"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Asset investment value</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5375E"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50,000</w:t>
            </w:r>
          </w:p>
        </w:tc>
      </w:tr>
    </w:tbl>
    <w:p w14:paraId="222ABFA7" w14:textId="77777777" w:rsidR="00112A52" w:rsidRPr="00185375" w:rsidRDefault="004F5A41" w:rsidP="00E33BB2">
      <w:pPr>
        <w:numPr>
          <w:ilvl w:val="0"/>
          <w:numId w:val="8"/>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In other cases, the General Meeting of Shareholders authorizes the Board of Directors to adjust the Business Plan and investment plan 2024 appropriately according to the actual situation and report to the General Meeting of Shareholders in the nearest meetings.</w:t>
      </w:r>
    </w:p>
    <w:p w14:paraId="5D073844"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4: Approve the loan limit in 2024, as follows:</w:t>
      </w:r>
    </w:p>
    <w:p w14:paraId="7906774B" w14:textId="77777777" w:rsidR="00112A52" w:rsidRPr="00185375" w:rsidRDefault="004F5A41" w:rsidP="00E33BB2">
      <w:pPr>
        <w:numPr>
          <w:ilvl w:val="0"/>
          <w:numId w:val="9"/>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Loan purpose:</w:t>
      </w:r>
    </w:p>
    <w:p w14:paraId="081B7C59" w14:textId="77777777" w:rsidR="00112A52" w:rsidRPr="00185375" w:rsidRDefault="004F5A41" w:rsidP="00E33BB2">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Bank loans to supplement working capital for production and business activities;</w:t>
      </w:r>
    </w:p>
    <w:p w14:paraId="217E1ECD" w14:textId="77777777" w:rsidR="00112A52" w:rsidRPr="00185375" w:rsidRDefault="004F5A41" w:rsidP="00E33BB2">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Medium and long-term loans in the form of loans at credit institutions, support funds for small and medium-sized enterprises, and other financial institutions to invest in renovating and upgrading factories, procurement of machinery and equipment for production activities as well as investments in brand recognition to serve business activities.</w:t>
      </w:r>
    </w:p>
    <w:p w14:paraId="7E706859" w14:textId="77777777" w:rsidR="00112A52" w:rsidRPr="00185375" w:rsidRDefault="004F5A41" w:rsidP="00E33BB2">
      <w:pPr>
        <w:numPr>
          <w:ilvl w:val="0"/>
          <w:numId w:val="9"/>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The expected loan limit of each investment is as follows:</w:t>
      </w:r>
    </w:p>
    <w:p w14:paraId="3960224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Unit: million VND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5"/>
        <w:gridCol w:w="6420"/>
        <w:gridCol w:w="1652"/>
      </w:tblGrid>
      <w:tr w:rsidR="00112A52" w:rsidRPr="00185375" w14:paraId="606CBC32" w14:textId="77777777" w:rsidTr="00316A94">
        <w:trPr>
          <w:jc w:val="center"/>
        </w:trPr>
        <w:tc>
          <w:tcPr>
            <w:tcW w:w="524" w:type="pct"/>
            <w:shd w:val="clear" w:color="auto" w:fill="auto"/>
            <w:tcMar>
              <w:top w:w="0" w:type="dxa"/>
              <w:bottom w:w="0" w:type="dxa"/>
            </w:tcMar>
            <w:vAlign w:val="center"/>
          </w:tcPr>
          <w:p w14:paraId="380FF90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No.</w:t>
            </w:r>
          </w:p>
        </w:tc>
        <w:tc>
          <w:tcPr>
            <w:tcW w:w="3560" w:type="pct"/>
            <w:shd w:val="clear" w:color="auto" w:fill="auto"/>
            <w:tcMar>
              <w:top w:w="0" w:type="dxa"/>
              <w:bottom w:w="0" w:type="dxa"/>
            </w:tcMar>
            <w:vAlign w:val="center"/>
          </w:tcPr>
          <w:p w14:paraId="57D239D8"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Content</w:t>
            </w:r>
          </w:p>
        </w:tc>
        <w:tc>
          <w:tcPr>
            <w:tcW w:w="916" w:type="pct"/>
            <w:shd w:val="clear" w:color="auto" w:fill="auto"/>
            <w:tcMar>
              <w:top w:w="0" w:type="dxa"/>
              <w:bottom w:w="0" w:type="dxa"/>
            </w:tcMar>
            <w:vAlign w:val="center"/>
          </w:tcPr>
          <w:p w14:paraId="3701F04E"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Amount</w:t>
            </w:r>
          </w:p>
        </w:tc>
      </w:tr>
      <w:tr w:rsidR="00112A52" w:rsidRPr="00185375" w14:paraId="5F171F66" w14:textId="77777777" w:rsidTr="00316A94">
        <w:trPr>
          <w:jc w:val="center"/>
        </w:trPr>
        <w:tc>
          <w:tcPr>
            <w:tcW w:w="524" w:type="pct"/>
            <w:shd w:val="clear" w:color="auto" w:fill="auto"/>
            <w:tcMar>
              <w:top w:w="0" w:type="dxa"/>
              <w:bottom w:w="0" w:type="dxa"/>
            </w:tcMar>
            <w:vAlign w:val="center"/>
          </w:tcPr>
          <w:p w14:paraId="467CBE87"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3560" w:type="pct"/>
            <w:shd w:val="clear" w:color="auto" w:fill="auto"/>
            <w:tcMar>
              <w:top w:w="0" w:type="dxa"/>
              <w:bottom w:w="0" w:type="dxa"/>
            </w:tcMar>
            <w:vAlign w:val="center"/>
          </w:tcPr>
          <w:p w14:paraId="3AA61E4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Working capital loan from banks for production and business activities</w:t>
            </w:r>
          </w:p>
        </w:tc>
        <w:tc>
          <w:tcPr>
            <w:tcW w:w="916" w:type="pct"/>
            <w:shd w:val="clear" w:color="auto" w:fill="auto"/>
            <w:tcMar>
              <w:top w:w="0" w:type="dxa"/>
              <w:bottom w:w="0" w:type="dxa"/>
            </w:tcMar>
            <w:vAlign w:val="center"/>
          </w:tcPr>
          <w:p w14:paraId="11E37BF5"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150,000</w:t>
            </w:r>
          </w:p>
        </w:tc>
      </w:tr>
      <w:tr w:rsidR="00112A52" w:rsidRPr="00185375" w14:paraId="0DF30F58" w14:textId="77777777" w:rsidTr="00316A94">
        <w:trPr>
          <w:jc w:val="center"/>
        </w:trPr>
        <w:tc>
          <w:tcPr>
            <w:tcW w:w="524" w:type="pct"/>
            <w:shd w:val="clear" w:color="auto" w:fill="auto"/>
            <w:tcMar>
              <w:top w:w="0" w:type="dxa"/>
              <w:bottom w:w="0" w:type="dxa"/>
            </w:tcMar>
            <w:vAlign w:val="center"/>
          </w:tcPr>
          <w:p w14:paraId="151C6B24"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3560" w:type="pct"/>
            <w:shd w:val="clear" w:color="auto" w:fill="auto"/>
            <w:tcMar>
              <w:top w:w="0" w:type="dxa"/>
              <w:bottom w:w="0" w:type="dxa"/>
            </w:tcMar>
            <w:vAlign w:val="center"/>
          </w:tcPr>
          <w:p w14:paraId="7E470ACF"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Borrow medium and long-term loans for investments</w:t>
            </w:r>
          </w:p>
        </w:tc>
        <w:tc>
          <w:tcPr>
            <w:tcW w:w="916" w:type="pct"/>
            <w:shd w:val="clear" w:color="auto" w:fill="auto"/>
            <w:tcMar>
              <w:top w:w="0" w:type="dxa"/>
              <w:bottom w:w="0" w:type="dxa"/>
            </w:tcMar>
            <w:vAlign w:val="center"/>
          </w:tcPr>
          <w:p w14:paraId="06769306"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50,000</w:t>
            </w:r>
          </w:p>
        </w:tc>
      </w:tr>
      <w:tr w:rsidR="00112A52" w:rsidRPr="00185375" w14:paraId="0520542E" w14:textId="77777777" w:rsidTr="00316A94">
        <w:trPr>
          <w:jc w:val="center"/>
        </w:trPr>
        <w:tc>
          <w:tcPr>
            <w:tcW w:w="524" w:type="pct"/>
            <w:shd w:val="clear" w:color="auto" w:fill="auto"/>
            <w:tcMar>
              <w:top w:w="0" w:type="dxa"/>
              <w:bottom w:w="0" w:type="dxa"/>
            </w:tcMar>
            <w:vAlign w:val="center"/>
          </w:tcPr>
          <w:p w14:paraId="40A0655B" w14:textId="77777777" w:rsidR="00112A52" w:rsidRPr="00185375" w:rsidRDefault="00112A52" w:rsidP="00316A94">
            <w:pPr>
              <w:tabs>
                <w:tab w:val="left" w:pos="432"/>
              </w:tabs>
              <w:spacing w:after="120" w:line="360" w:lineRule="auto"/>
              <w:rPr>
                <w:rFonts w:ascii="Arial" w:eastAsia="Arial" w:hAnsi="Arial" w:cs="Arial"/>
                <w:color w:val="010000"/>
                <w:sz w:val="20"/>
                <w:szCs w:val="20"/>
              </w:rPr>
            </w:pPr>
          </w:p>
        </w:tc>
        <w:tc>
          <w:tcPr>
            <w:tcW w:w="3560" w:type="pct"/>
            <w:shd w:val="clear" w:color="auto" w:fill="auto"/>
            <w:tcMar>
              <w:top w:w="0" w:type="dxa"/>
              <w:bottom w:w="0" w:type="dxa"/>
            </w:tcMar>
            <w:vAlign w:val="center"/>
          </w:tcPr>
          <w:p w14:paraId="645D2B5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Total</w:t>
            </w:r>
          </w:p>
        </w:tc>
        <w:tc>
          <w:tcPr>
            <w:tcW w:w="916" w:type="pct"/>
            <w:shd w:val="clear" w:color="auto" w:fill="auto"/>
            <w:tcMar>
              <w:top w:w="0" w:type="dxa"/>
              <w:bottom w:w="0" w:type="dxa"/>
            </w:tcMar>
            <w:vAlign w:val="center"/>
          </w:tcPr>
          <w:p w14:paraId="6554E69F" w14:textId="77777777" w:rsidR="00112A52" w:rsidRPr="00185375" w:rsidRDefault="004F5A41" w:rsidP="00E33B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200,000</w:t>
            </w:r>
          </w:p>
        </w:tc>
      </w:tr>
    </w:tbl>
    <w:p w14:paraId="444A2A33" w14:textId="77777777" w:rsidR="00112A52" w:rsidRPr="00185375" w:rsidRDefault="004F5A41" w:rsidP="00E33BB2">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The General Meeting of Shareholders assigned the Board of Directors to consider, choose and decide on the options, the form of loan to ensure effectiveness and operating capital in accordance with the actual situation.</w:t>
      </w:r>
    </w:p>
    <w:p w14:paraId="6C41B6EC"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5: Approve the Proposal on the supplement to business lines and adjustment of the Company’s Charter.</w:t>
      </w:r>
    </w:p>
    <w:p w14:paraId="3013781E" w14:textId="77777777" w:rsidR="00112A52" w:rsidRPr="00185375" w:rsidRDefault="004F5A41" w:rsidP="00E33BB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6: Approve not implementing the plan to issue shares to offer to existing shareholders according to the Extraordinary General Mandate No. 178/NQ-DHDCD/2023 dated December 21, 2023 because the Company does not meet the conditions for offering shares to the public according to the law.</w:t>
      </w:r>
    </w:p>
    <w:p w14:paraId="75F3DE74" w14:textId="02E629BE"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Article 7: Approve the plan on private placement</w:t>
      </w:r>
    </w:p>
    <w:p w14:paraId="366FBDD7" w14:textId="77777777" w:rsidR="004F5A41" w:rsidRPr="00185375" w:rsidRDefault="004F5A41" w:rsidP="00316A94">
      <w:pPr>
        <w:pStyle w:val="ListParagraph"/>
        <w:numPr>
          <w:ilvl w:val="0"/>
          <w:numId w:val="15"/>
        </w:numPr>
        <w:tabs>
          <w:tab w:val="left" w:pos="432"/>
          <w:tab w:val="left" w:pos="686"/>
          <w:tab w:val="left" w:pos="687"/>
        </w:tabs>
        <w:spacing w:before="0" w:after="120" w:line="360" w:lineRule="auto"/>
        <w:ind w:left="0" w:firstLine="0"/>
        <w:rPr>
          <w:rFonts w:ascii="Arial" w:hAnsi="Arial" w:cs="Arial"/>
          <w:color w:val="010000"/>
          <w:sz w:val="20"/>
        </w:rPr>
      </w:pPr>
      <w:r w:rsidRPr="00185375">
        <w:rPr>
          <w:rFonts w:ascii="Arial" w:hAnsi="Arial" w:cs="Arial"/>
          <w:color w:val="010000"/>
          <w:sz w:val="20"/>
        </w:rPr>
        <w:lastRenderedPageBreak/>
        <w:t>Offering plan</w:t>
      </w:r>
    </w:p>
    <w:p w14:paraId="77D2A789"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Share name: Shares of Lam Dong Pharmaceutical JSC</w:t>
      </w:r>
    </w:p>
    <w:p w14:paraId="67722914"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Securities code: LDP</w:t>
      </w:r>
    </w:p>
    <w:p w14:paraId="219EDD47"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Par value: VND 10,000/share</w:t>
      </w:r>
    </w:p>
    <w:p w14:paraId="669BADAE"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Share type: Common shares</w:t>
      </w:r>
    </w:p>
    <w:p w14:paraId="7D62D196" w14:textId="77777777" w:rsidR="004F5A41" w:rsidRPr="00185375" w:rsidRDefault="004F5A41" w:rsidP="00E33BB2">
      <w:pPr>
        <w:pStyle w:val="ListParagraph"/>
        <w:numPr>
          <w:ilvl w:val="1"/>
          <w:numId w:val="15"/>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outstanding shares: 12,703,135 shares</w:t>
      </w:r>
    </w:p>
    <w:p w14:paraId="530F5E7A"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treasury shares: 32 shares</w:t>
      </w:r>
    </w:p>
    <w:p w14:paraId="0FA8593F" w14:textId="77777777" w:rsidR="004F5A41" w:rsidRPr="00185375" w:rsidRDefault="004F5A41" w:rsidP="00E33BB2">
      <w:pPr>
        <w:pStyle w:val="ListParagraph"/>
        <w:numPr>
          <w:ilvl w:val="1"/>
          <w:numId w:val="15"/>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Charter capital before the offering: VND 127,031,670,000</w:t>
      </w:r>
    </w:p>
    <w:p w14:paraId="48748114" w14:textId="77777777" w:rsidR="004F5A41" w:rsidRPr="00185375" w:rsidRDefault="004F5A41" w:rsidP="00E33BB2">
      <w:pPr>
        <w:pStyle w:val="ListParagraph"/>
        <w:numPr>
          <w:ilvl w:val="1"/>
          <w:numId w:val="15"/>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Maximum number of shares expected to be offered: 8,250,000 shares</w:t>
      </w:r>
    </w:p>
    <w:p w14:paraId="3888C923" w14:textId="77777777" w:rsidR="004F5A41" w:rsidRPr="00185375" w:rsidRDefault="004F5A41" w:rsidP="00E33BB2">
      <w:pPr>
        <w:pStyle w:val="ListParagraph"/>
        <w:numPr>
          <w:ilvl w:val="1"/>
          <w:numId w:val="15"/>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Maximum expected value of shares to be offered at par value: VND 82,500,000,000</w:t>
      </w:r>
    </w:p>
    <w:p w14:paraId="72991AA1"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increase in charter capital: VND 82,500,000,000</w:t>
      </w:r>
    </w:p>
    <w:p w14:paraId="769F874C"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number of outstanding shares after the private placement: 20,953,135 shares</w:t>
      </w:r>
    </w:p>
    <w:p w14:paraId="611675B4" w14:textId="77777777" w:rsidR="004F5A41" w:rsidRPr="00185375" w:rsidRDefault="004F5A41" w:rsidP="00E33BB2">
      <w:pPr>
        <w:pStyle w:val="ListParagraph"/>
        <w:numPr>
          <w:ilvl w:val="1"/>
          <w:numId w:val="15"/>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charter capital after the private placement: VND 209,531,670,000</w:t>
      </w:r>
    </w:p>
    <w:p w14:paraId="35AE676A"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Offering form: Private placement.</w:t>
      </w:r>
    </w:p>
    <w:p w14:paraId="7EC20BFF"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Offering price: The General Meeting of Shareholders authorizes the Board of Directors to decide the offering price but not lower than VND 11,000/share.</w:t>
      </w:r>
    </w:p>
    <w:p w14:paraId="75532234"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Eligible buyers: Individuals and/or organizations who are professional securities investors.</w:t>
      </w:r>
    </w:p>
    <w:p w14:paraId="11542CBD"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 xml:space="preserve">Criteria for selecting subjects of the offering: Investors must meet the criteria of being a professional securities investor according to Article 11 of the Law on Securities. </w:t>
      </w:r>
    </w:p>
    <w:p w14:paraId="65450E46" w14:textId="77777777" w:rsidR="004F5A41" w:rsidRPr="00185375" w:rsidRDefault="004F5A41" w:rsidP="00E33BB2">
      <w:pPr>
        <w:pStyle w:val="ListParagraph"/>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The General Meeting of Shareholders authorizes the Board of Directors to make detailed decisions and adjust criteria to suit the actual situation.</w:t>
      </w:r>
    </w:p>
    <w:p w14:paraId="25417570" w14:textId="77777777"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investors expected to offer Expected to offer to less than 100 investors who are professional securities investors.</w:t>
      </w:r>
    </w:p>
    <w:p w14:paraId="5B4313A4" w14:textId="43EB4A39" w:rsidR="004F5A41" w:rsidRPr="00185375" w:rsidRDefault="004F5A41" w:rsidP="00E33BB2">
      <w:pPr>
        <w:pStyle w:val="ListParagraph"/>
        <w:numPr>
          <w:ilvl w:val="1"/>
          <w:numId w:val="15"/>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shares expected to be offered to each investor:</w:t>
      </w:r>
      <w:r w:rsidR="00316A94" w:rsidRPr="00185375">
        <w:rPr>
          <w:rFonts w:ascii="Arial" w:hAnsi="Arial" w:cs="Arial"/>
          <w:color w:val="010000"/>
          <w:sz w:val="20"/>
        </w:rPr>
        <w:t xml:space="preserve"> </w:t>
      </w:r>
      <w:r w:rsidRPr="00185375">
        <w:rPr>
          <w:rFonts w:ascii="Arial" w:hAnsi="Arial" w:cs="Arial"/>
          <w:color w:val="010000"/>
          <w:sz w:val="20"/>
        </w:rPr>
        <w:t>Depending on the financial capacity and commitment of investors based on the agreement and cooperation content of the parties.</w:t>
      </w:r>
    </w:p>
    <w:p w14:paraId="37555F22" w14:textId="77777777"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actively search, select and approve the list and number of investors that are eligible to purchase the shares from the private placement, and decide the number of shares to be offered to each investor.</w:t>
      </w:r>
    </w:p>
    <w:p w14:paraId="612F6C0C" w14:textId="77777777" w:rsidR="004F5A41" w:rsidRPr="00185375" w:rsidRDefault="004F5A41" w:rsidP="00E33BB2">
      <w:pPr>
        <w:pStyle w:val="ListParagraph"/>
        <w:numPr>
          <w:ilvl w:val="1"/>
          <w:numId w:val="15"/>
        </w:numPr>
        <w:tabs>
          <w:tab w:val="left" w:pos="432"/>
          <w:tab w:val="left" w:pos="566"/>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Plan for handling undistributed shares (if any): The General Meeting of Shareholders authorizes the Board of Directors to issue a decision to offer the undistributed shares to other subjects under offering conditions that are no more favorable than the offering conditions to investors in this Plan, after it has been approved by the General Meeting of Shareholders and complies with the provisions of law.</w:t>
      </w:r>
    </w:p>
    <w:p w14:paraId="7350FA3F" w14:textId="77777777" w:rsidR="004F5A41" w:rsidRPr="00185375" w:rsidRDefault="004F5A41" w:rsidP="00E33BB2">
      <w:pPr>
        <w:pStyle w:val="ListParagraph"/>
        <w:numPr>
          <w:ilvl w:val="1"/>
          <w:numId w:val="15"/>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 xml:space="preserve">Transfer conditions: The number of shares offered is restricted from transfer for one year for </w:t>
      </w:r>
      <w:r w:rsidRPr="00185375">
        <w:rPr>
          <w:rFonts w:ascii="Arial" w:hAnsi="Arial" w:cs="Arial"/>
          <w:color w:val="010000"/>
          <w:sz w:val="20"/>
        </w:rPr>
        <w:lastRenderedPageBreak/>
        <w:t>professional securities investors from the date of completion of the offering, except in the case of transfer between professional securities investors or if the law has provisions that state otherwise.</w:t>
      </w:r>
    </w:p>
    <w:p w14:paraId="049D46B1" w14:textId="77777777" w:rsidR="004F5A41" w:rsidRPr="00185375" w:rsidRDefault="004F5A41" w:rsidP="00E33BB2">
      <w:pPr>
        <w:pStyle w:val="ListParagraph"/>
        <w:numPr>
          <w:ilvl w:val="1"/>
          <w:numId w:val="15"/>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issue date: Expected in 2024.</w:t>
      </w:r>
    </w:p>
    <w:p w14:paraId="20AD94E6" w14:textId="77777777"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decide on a specific time to suit the actual situation. The Company will announce the specific offering time after the State Securities Commission has written approval of the Company's private placement dossier.</w:t>
      </w:r>
    </w:p>
    <w:p w14:paraId="3E35EF8E" w14:textId="77777777" w:rsidR="004F5A41" w:rsidRPr="00185375" w:rsidRDefault="004F5A41" w:rsidP="00E33BB2">
      <w:pPr>
        <w:pStyle w:val="ListParagraph"/>
        <w:numPr>
          <w:ilvl w:val="1"/>
          <w:numId w:val="15"/>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Plan on ensuring that the offering is in compliance with regulations on foreign ownership rate: The General Meeting of Shareholders authorizes the Board of Directors to approve a plan to ensure that the share offering meets the regulations on the foreign ownership rate in the Company.</w:t>
      </w:r>
    </w:p>
    <w:p w14:paraId="3633F6AC" w14:textId="77777777" w:rsidR="004F5A41" w:rsidRPr="00185375" w:rsidRDefault="004F5A41" w:rsidP="00E33BB2">
      <w:pPr>
        <w:pStyle w:val="ListParagraph"/>
        <w:numPr>
          <w:ilvl w:val="1"/>
          <w:numId w:val="15"/>
        </w:numPr>
        <w:tabs>
          <w:tab w:val="left" w:pos="432"/>
          <w:tab w:val="left" w:pos="681"/>
          <w:tab w:val="left" w:pos="682"/>
          <w:tab w:val="left" w:pos="3951"/>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Capital mobilization plan in case the proceeds from the offering are not enough as expected: At the end of the offering period and extension period (if any), if the Company does not offer all shares as registered, or the proceeds from the offering are not enough as expected, the General Meeting of Shareholders authorizes the Board of Directors to use other capital sources such as bank loans, personal loans, and/or other solutions to ensure compliance with the provisions of law and internal regulations of the Company to implement the set plans.</w:t>
      </w:r>
    </w:p>
    <w:p w14:paraId="028B0765" w14:textId="77777777" w:rsidR="004F5A41" w:rsidRPr="00185375" w:rsidRDefault="004F5A41" w:rsidP="00E33BB2">
      <w:pPr>
        <w:pStyle w:val="Heading2"/>
        <w:keepLines w:val="0"/>
        <w:numPr>
          <w:ilvl w:val="0"/>
          <w:numId w:val="15"/>
        </w:numPr>
        <w:tabs>
          <w:tab w:val="left" w:pos="432"/>
          <w:tab w:val="left" w:pos="687"/>
        </w:tabs>
        <w:spacing w:before="0" w:after="120" w:line="360" w:lineRule="auto"/>
        <w:ind w:left="0" w:firstLine="0"/>
        <w:jc w:val="both"/>
        <w:rPr>
          <w:rFonts w:ascii="Arial" w:hAnsi="Arial" w:cs="Arial"/>
          <w:b w:val="0"/>
          <w:color w:val="010000"/>
          <w:sz w:val="20"/>
        </w:rPr>
      </w:pPr>
      <w:r w:rsidRPr="00185375">
        <w:rPr>
          <w:rFonts w:ascii="Arial" w:hAnsi="Arial" w:cs="Arial"/>
          <w:b w:val="0"/>
          <w:color w:val="010000"/>
          <w:sz w:val="20"/>
        </w:rPr>
        <w:t>Purpose and the plan on using the proceeds from the offering</w:t>
      </w:r>
    </w:p>
    <w:p w14:paraId="2AA7582D" w14:textId="77777777"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In case the Company successfully offers 8,250,000 shares at a price of VND 11,000/share, the Company will use the entire proceeds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9"/>
        <w:gridCol w:w="4411"/>
        <w:gridCol w:w="1991"/>
        <w:gridCol w:w="1856"/>
      </w:tblGrid>
      <w:tr w:rsidR="004F5A41" w:rsidRPr="00185375" w14:paraId="407B4F4B" w14:textId="77777777" w:rsidTr="00316A94">
        <w:tc>
          <w:tcPr>
            <w:tcW w:w="421" w:type="pct"/>
            <w:shd w:val="clear" w:color="auto" w:fill="auto"/>
            <w:vAlign w:val="center"/>
          </w:tcPr>
          <w:p w14:paraId="70EE8FD0"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No.</w:t>
            </w:r>
          </w:p>
        </w:tc>
        <w:tc>
          <w:tcPr>
            <w:tcW w:w="2446" w:type="pct"/>
            <w:shd w:val="clear" w:color="auto" w:fill="auto"/>
            <w:vAlign w:val="center"/>
          </w:tcPr>
          <w:p w14:paraId="0B100AC3"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Content of capital use</w:t>
            </w:r>
          </w:p>
        </w:tc>
        <w:tc>
          <w:tcPr>
            <w:tcW w:w="1104" w:type="pct"/>
            <w:shd w:val="clear" w:color="auto" w:fill="auto"/>
            <w:vAlign w:val="center"/>
          </w:tcPr>
          <w:p w14:paraId="01799969"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Expected purchasing value (VND)</w:t>
            </w:r>
          </w:p>
        </w:tc>
        <w:tc>
          <w:tcPr>
            <w:tcW w:w="1029" w:type="pct"/>
            <w:shd w:val="clear" w:color="auto" w:fill="auto"/>
            <w:vAlign w:val="center"/>
          </w:tcPr>
          <w:p w14:paraId="30FEF7F5"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Expected disbursement time</w:t>
            </w:r>
          </w:p>
        </w:tc>
      </w:tr>
      <w:tr w:rsidR="004F5A41" w:rsidRPr="00185375" w14:paraId="3A2ECCB6" w14:textId="77777777" w:rsidTr="00316A94">
        <w:tc>
          <w:tcPr>
            <w:tcW w:w="421" w:type="pct"/>
            <w:shd w:val="clear" w:color="auto" w:fill="auto"/>
            <w:vAlign w:val="center"/>
          </w:tcPr>
          <w:p w14:paraId="559DB4B1"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1</w:t>
            </w:r>
          </w:p>
        </w:tc>
        <w:tc>
          <w:tcPr>
            <w:tcW w:w="2446" w:type="pct"/>
            <w:shd w:val="clear" w:color="auto" w:fill="auto"/>
            <w:vAlign w:val="center"/>
          </w:tcPr>
          <w:p w14:paraId="1E29D48D"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Repay the Company's loans (including bank loans and bond debts)</w:t>
            </w:r>
          </w:p>
        </w:tc>
        <w:tc>
          <w:tcPr>
            <w:tcW w:w="1104" w:type="pct"/>
            <w:shd w:val="clear" w:color="auto" w:fill="auto"/>
            <w:vAlign w:val="center"/>
          </w:tcPr>
          <w:p w14:paraId="45CBEE6D" w14:textId="77777777" w:rsidR="004F5A41" w:rsidRPr="00185375" w:rsidRDefault="004F5A41" w:rsidP="00E33BB2">
            <w:pPr>
              <w:pStyle w:val="TableParagraph"/>
              <w:tabs>
                <w:tab w:val="left" w:pos="432"/>
              </w:tabs>
              <w:spacing w:after="120" w:line="360" w:lineRule="auto"/>
              <w:jc w:val="center"/>
              <w:rPr>
                <w:rFonts w:ascii="Arial" w:hAnsi="Arial" w:cs="Arial"/>
                <w:color w:val="010000"/>
                <w:sz w:val="20"/>
              </w:rPr>
            </w:pPr>
            <w:r w:rsidRPr="00185375">
              <w:rPr>
                <w:rFonts w:ascii="Arial" w:hAnsi="Arial" w:cs="Arial"/>
                <w:color w:val="010000"/>
                <w:sz w:val="20"/>
              </w:rPr>
              <w:t>65,000,000,000</w:t>
            </w:r>
          </w:p>
        </w:tc>
        <w:tc>
          <w:tcPr>
            <w:tcW w:w="1029" w:type="pct"/>
            <w:vMerge w:val="restart"/>
            <w:shd w:val="clear" w:color="auto" w:fill="auto"/>
            <w:vAlign w:val="center"/>
          </w:tcPr>
          <w:p w14:paraId="3B86B732" w14:textId="3E75B491" w:rsidR="004F5A41" w:rsidRPr="00185375" w:rsidRDefault="004F5A41" w:rsidP="00E33BB2">
            <w:pPr>
              <w:pStyle w:val="TableParagraph"/>
              <w:tabs>
                <w:tab w:val="left" w:pos="432"/>
              </w:tabs>
              <w:spacing w:after="120" w:line="360" w:lineRule="auto"/>
              <w:jc w:val="center"/>
              <w:rPr>
                <w:rFonts w:ascii="Arial" w:hAnsi="Arial" w:cs="Arial"/>
                <w:color w:val="010000"/>
                <w:sz w:val="20"/>
              </w:rPr>
            </w:pPr>
            <w:r w:rsidRPr="00185375">
              <w:rPr>
                <w:rFonts w:ascii="Arial" w:hAnsi="Arial" w:cs="Arial"/>
                <w:color w:val="010000"/>
                <w:sz w:val="20"/>
              </w:rPr>
              <w:t>Expected in 2024 (Q2 and/or Q3); after completing the offering and according to actual capital use schedule</w:t>
            </w:r>
          </w:p>
        </w:tc>
      </w:tr>
      <w:tr w:rsidR="004F5A41" w:rsidRPr="00185375" w14:paraId="07CA14DE" w14:textId="77777777" w:rsidTr="00316A94">
        <w:tc>
          <w:tcPr>
            <w:tcW w:w="421" w:type="pct"/>
            <w:shd w:val="clear" w:color="auto" w:fill="auto"/>
            <w:vAlign w:val="center"/>
          </w:tcPr>
          <w:p w14:paraId="307029E6"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2</w:t>
            </w:r>
          </w:p>
        </w:tc>
        <w:tc>
          <w:tcPr>
            <w:tcW w:w="2446" w:type="pct"/>
            <w:shd w:val="clear" w:color="auto" w:fill="auto"/>
            <w:vAlign w:val="center"/>
          </w:tcPr>
          <w:p w14:paraId="5A0436D8"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Procurement of machinery and equipment to serve the Company's production and business activities</w:t>
            </w:r>
          </w:p>
        </w:tc>
        <w:tc>
          <w:tcPr>
            <w:tcW w:w="1104" w:type="pct"/>
            <w:shd w:val="clear" w:color="auto" w:fill="auto"/>
            <w:vAlign w:val="center"/>
          </w:tcPr>
          <w:p w14:paraId="6EB8D196" w14:textId="77777777" w:rsidR="004F5A41" w:rsidRPr="00185375" w:rsidRDefault="004F5A41" w:rsidP="00E33BB2">
            <w:pPr>
              <w:pStyle w:val="TableParagraph"/>
              <w:tabs>
                <w:tab w:val="left" w:pos="432"/>
              </w:tabs>
              <w:spacing w:after="120" w:line="360" w:lineRule="auto"/>
              <w:jc w:val="center"/>
              <w:rPr>
                <w:rFonts w:ascii="Arial" w:hAnsi="Arial" w:cs="Arial"/>
                <w:color w:val="010000"/>
                <w:sz w:val="20"/>
              </w:rPr>
            </w:pPr>
            <w:r w:rsidRPr="00185375">
              <w:rPr>
                <w:rFonts w:ascii="Arial" w:hAnsi="Arial" w:cs="Arial"/>
                <w:color w:val="010000"/>
                <w:sz w:val="20"/>
              </w:rPr>
              <w:t>25,750,000,000</w:t>
            </w:r>
          </w:p>
        </w:tc>
        <w:tc>
          <w:tcPr>
            <w:tcW w:w="1029" w:type="pct"/>
            <w:vMerge/>
            <w:shd w:val="clear" w:color="auto" w:fill="auto"/>
            <w:vAlign w:val="center"/>
          </w:tcPr>
          <w:p w14:paraId="434D4E85" w14:textId="77777777" w:rsidR="004F5A41" w:rsidRPr="00185375" w:rsidRDefault="004F5A41" w:rsidP="00E33BB2">
            <w:pPr>
              <w:tabs>
                <w:tab w:val="left" w:pos="432"/>
              </w:tabs>
              <w:spacing w:after="120" w:line="360" w:lineRule="auto"/>
              <w:jc w:val="center"/>
              <w:rPr>
                <w:rFonts w:ascii="Arial" w:hAnsi="Arial" w:cs="Arial"/>
                <w:color w:val="010000"/>
                <w:sz w:val="20"/>
                <w:szCs w:val="2"/>
              </w:rPr>
            </w:pPr>
          </w:p>
        </w:tc>
      </w:tr>
      <w:tr w:rsidR="004F5A41" w:rsidRPr="00185375" w14:paraId="31939378" w14:textId="77777777" w:rsidTr="00316A94">
        <w:tc>
          <w:tcPr>
            <w:tcW w:w="2867" w:type="pct"/>
            <w:gridSpan w:val="2"/>
            <w:shd w:val="clear" w:color="auto" w:fill="auto"/>
            <w:vAlign w:val="center"/>
          </w:tcPr>
          <w:p w14:paraId="6E8F463D" w14:textId="77777777" w:rsidR="004F5A41" w:rsidRPr="00185375" w:rsidRDefault="004F5A41" w:rsidP="00316A94">
            <w:pPr>
              <w:pStyle w:val="TableParagraph"/>
              <w:tabs>
                <w:tab w:val="left" w:pos="432"/>
              </w:tabs>
              <w:spacing w:after="120" w:line="360" w:lineRule="auto"/>
              <w:rPr>
                <w:rFonts w:ascii="Arial" w:hAnsi="Arial" w:cs="Arial"/>
                <w:color w:val="010000"/>
                <w:sz w:val="20"/>
              </w:rPr>
            </w:pPr>
            <w:r w:rsidRPr="00185375">
              <w:rPr>
                <w:rFonts w:ascii="Arial" w:hAnsi="Arial" w:cs="Arial"/>
                <w:color w:val="010000"/>
                <w:sz w:val="20"/>
              </w:rPr>
              <w:t>Total</w:t>
            </w:r>
          </w:p>
        </w:tc>
        <w:tc>
          <w:tcPr>
            <w:tcW w:w="1104" w:type="pct"/>
            <w:shd w:val="clear" w:color="auto" w:fill="auto"/>
            <w:vAlign w:val="center"/>
          </w:tcPr>
          <w:p w14:paraId="098677D7" w14:textId="77777777" w:rsidR="004F5A41" w:rsidRPr="00185375" w:rsidRDefault="004F5A41" w:rsidP="00E33BB2">
            <w:pPr>
              <w:pStyle w:val="TableParagraph"/>
              <w:tabs>
                <w:tab w:val="left" w:pos="432"/>
              </w:tabs>
              <w:spacing w:after="120" w:line="360" w:lineRule="auto"/>
              <w:jc w:val="center"/>
              <w:rPr>
                <w:rFonts w:ascii="Arial" w:hAnsi="Arial" w:cs="Arial"/>
                <w:color w:val="010000"/>
                <w:sz w:val="20"/>
              </w:rPr>
            </w:pPr>
            <w:r w:rsidRPr="00185375">
              <w:rPr>
                <w:rFonts w:ascii="Arial" w:hAnsi="Arial" w:cs="Arial"/>
                <w:color w:val="010000"/>
                <w:sz w:val="20"/>
              </w:rPr>
              <w:t>90,750,000,000</w:t>
            </w:r>
          </w:p>
        </w:tc>
        <w:tc>
          <w:tcPr>
            <w:tcW w:w="1029" w:type="pct"/>
            <w:shd w:val="clear" w:color="auto" w:fill="auto"/>
            <w:vAlign w:val="center"/>
          </w:tcPr>
          <w:p w14:paraId="06B03951" w14:textId="77777777" w:rsidR="004F5A41" w:rsidRPr="00185375" w:rsidRDefault="004F5A41" w:rsidP="00E33BB2">
            <w:pPr>
              <w:pStyle w:val="TableParagraph"/>
              <w:tabs>
                <w:tab w:val="left" w:pos="432"/>
              </w:tabs>
              <w:spacing w:after="120" w:line="360" w:lineRule="auto"/>
              <w:jc w:val="center"/>
              <w:rPr>
                <w:rFonts w:ascii="Arial" w:hAnsi="Arial" w:cs="Arial"/>
                <w:color w:val="010000"/>
                <w:sz w:val="20"/>
              </w:rPr>
            </w:pPr>
          </w:p>
        </w:tc>
      </w:tr>
    </w:tbl>
    <w:p w14:paraId="058D4188" w14:textId="77777777"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make decisions and can flexibly adjust detailed capital use plans, detailed usage categories and disbursement time.</w:t>
      </w:r>
    </w:p>
    <w:p w14:paraId="1717B734" w14:textId="77777777"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change the capital/proceeds use plan if the change is less than 50% of the total amount raised.</w:t>
      </w:r>
    </w:p>
    <w:p w14:paraId="03DC1398" w14:textId="67D7572E" w:rsidR="004F5A41" w:rsidRPr="00185375" w:rsidRDefault="004F5A41" w:rsidP="00E33BB2">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proactively allocate additional amount (in case the total proceeds from the offering exceeds the temporarily calculated total amount mobilized above) to supplement working capital and report to the General Meeting of Shareholders at the nearest meeting</w:t>
      </w:r>
      <w:r w:rsidR="00914633">
        <w:rPr>
          <w:rFonts w:ascii="Arial" w:hAnsi="Arial" w:cs="Arial"/>
          <w:color w:val="010000"/>
          <w:sz w:val="20"/>
        </w:rPr>
        <w:t>.</w:t>
      </w:r>
    </w:p>
    <w:p w14:paraId="2CE86F8F" w14:textId="77777777" w:rsidR="004F5A41" w:rsidRPr="00185375" w:rsidRDefault="004F5A41" w:rsidP="00316A94">
      <w:pPr>
        <w:pStyle w:val="Heading2"/>
        <w:keepLines w:val="0"/>
        <w:numPr>
          <w:ilvl w:val="0"/>
          <w:numId w:val="15"/>
        </w:numPr>
        <w:tabs>
          <w:tab w:val="left" w:pos="432"/>
          <w:tab w:val="left" w:pos="687"/>
        </w:tabs>
        <w:spacing w:before="0" w:after="120" w:line="360" w:lineRule="auto"/>
        <w:ind w:left="0" w:firstLine="0"/>
        <w:rPr>
          <w:rFonts w:ascii="Arial" w:hAnsi="Arial" w:cs="Arial"/>
          <w:b w:val="0"/>
          <w:color w:val="010000"/>
          <w:sz w:val="20"/>
        </w:rPr>
      </w:pPr>
      <w:r w:rsidRPr="00185375">
        <w:rPr>
          <w:rFonts w:ascii="Arial" w:hAnsi="Arial" w:cs="Arial"/>
          <w:b w:val="0"/>
          <w:color w:val="010000"/>
          <w:sz w:val="20"/>
        </w:rPr>
        <w:lastRenderedPageBreak/>
        <w:t>Additional listing and additional depository</w:t>
      </w:r>
    </w:p>
    <w:p w14:paraId="6C0C8369" w14:textId="77777777" w:rsidR="004F5A41" w:rsidRPr="00185375" w:rsidRDefault="004F5A41" w:rsidP="00316A94">
      <w:pPr>
        <w:pStyle w:val="BodyText"/>
        <w:tabs>
          <w:tab w:val="left" w:pos="432"/>
        </w:tabs>
        <w:spacing w:after="120" w:line="360" w:lineRule="auto"/>
        <w:rPr>
          <w:rFonts w:ascii="Arial" w:hAnsi="Arial" w:cs="Arial"/>
          <w:color w:val="010000"/>
          <w:sz w:val="20"/>
        </w:rPr>
      </w:pPr>
      <w:r w:rsidRPr="00185375">
        <w:rPr>
          <w:rFonts w:ascii="Arial" w:hAnsi="Arial" w:cs="Arial"/>
          <w:color w:val="010000"/>
          <w:sz w:val="20"/>
        </w:rPr>
        <w:t>All additional shares offered will be additionally deposited and listed by the Company according to regulations.</w:t>
      </w:r>
    </w:p>
    <w:p w14:paraId="0144C7C5" w14:textId="77777777" w:rsidR="004F5A41"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Article 8: Approve the plan on share issuance under the Employee Stock Ownership Plan</w:t>
      </w:r>
    </w:p>
    <w:p w14:paraId="77D4262F" w14:textId="77777777" w:rsidR="004F5A41" w:rsidRPr="00185375" w:rsidRDefault="004F5A41" w:rsidP="00C04721">
      <w:pPr>
        <w:pStyle w:val="ListParagraph"/>
        <w:numPr>
          <w:ilvl w:val="0"/>
          <w:numId w:val="13"/>
        </w:numPr>
        <w:tabs>
          <w:tab w:val="left" w:pos="432"/>
          <w:tab w:val="left" w:pos="687"/>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Offering plan</w:t>
      </w:r>
    </w:p>
    <w:p w14:paraId="20C9CB91" w14:textId="5870512E"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Share name: Shares of Lam Dong Pharmaceutical JSC</w:t>
      </w:r>
    </w:p>
    <w:p w14:paraId="78934221" w14:textId="29ACBB56"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Securities code: LDP</w:t>
      </w:r>
    </w:p>
    <w:p w14:paraId="445CDEA1" w14:textId="082B5E8E"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Par value: VND 10,000/share</w:t>
      </w:r>
    </w:p>
    <w:p w14:paraId="39D59D08" w14:textId="1407BE5F"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Share type: Common shares</w:t>
      </w:r>
    </w:p>
    <w:p w14:paraId="52F60DE1" w14:textId="180C8519" w:rsidR="004F5A41" w:rsidRPr="00185375" w:rsidRDefault="004F5A41" w:rsidP="00C04721">
      <w:pPr>
        <w:pStyle w:val="ListParagraph"/>
        <w:numPr>
          <w:ilvl w:val="1"/>
          <w:numId w:val="13"/>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outstanding shares: 12,703,135 shares</w:t>
      </w:r>
    </w:p>
    <w:p w14:paraId="447F3FA3" w14:textId="2A5F0A97"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Number of treasury shares: 32 shares</w:t>
      </w:r>
    </w:p>
    <w:p w14:paraId="60B93451" w14:textId="1E6CFE41"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Charter capital before the issuance: VND 127,031,670,000</w:t>
      </w:r>
    </w:p>
    <w:p w14:paraId="3C18FB0A" w14:textId="27249BDA"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Maximum number of shares expected to be issued: 635,000 shares</w:t>
      </w:r>
    </w:p>
    <w:p w14:paraId="256392E4" w14:textId="222EFE34"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Current issuance rate compared to charter capital: 4.9987% (calculated based on charter capital at the time the General Meeting of Shareholders approved the plan)</w:t>
      </w:r>
    </w:p>
    <w:p w14:paraId="7806E9A6" w14:textId="0A7D6FDA"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Value of shares expected to be issued based on par value: VND 6,350,000,000</w:t>
      </w:r>
    </w:p>
    <w:p w14:paraId="3C3E87AE" w14:textId="61B6C61E"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increase in charter capital: VND 6,350,000,000</w:t>
      </w:r>
    </w:p>
    <w:p w14:paraId="45E7FA26" w14:textId="77777777"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Estimated number of outstanding shares after completing the share issuance under the ESOP: 13,338,135 shares</w:t>
      </w:r>
    </w:p>
    <w:p w14:paraId="6F7458C5" w14:textId="77777777" w:rsidR="004F5A41" w:rsidRPr="00185375" w:rsidRDefault="004F5A41" w:rsidP="00C04721">
      <w:pPr>
        <w:pStyle w:val="ListParagraph"/>
        <w:numPr>
          <w:ilvl w:val="1"/>
          <w:numId w:val="13"/>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charter capital after completing the issuance of shares under the ESOP: VND 133,381,670,000</w:t>
      </w:r>
    </w:p>
    <w:p w14:paraId="5D7E7D05" w14:textId="6766449F"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Offering form: Share issuance under the Employee Stock Ownership Plan</w:t>
      </w:r>
    </w:p>
    <w:p w14:paraId="588F019B" w14:textId="58197AC9"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Offering price: Authorize the Board of Directors to decide but ensure not less than VND 10,000/share.</w:t>
      </w:r>
    </w:p>
    <w:p w14:paraId="013D7A85" w14:textId="5B1CF20F"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Eligible buyers: Members of the Board of Directors, members of the Board of Management, key managers and other employees in the Company.</w:t>
      </w:r>
    </w:p>
    <w:p w14:paraId="2E91E050" w14:textId="6141B93E"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Criteria for selecting subjects of the offering: The General Meeting of Shareholders authorizes the Board of Directors to approve the Regulations on issuance of shares to employees; criteria and list of employees eligible to participate in the ESOP; principles for determining the number of shares distributed to each of the above subjects; and execution time.</w:t>
      </w:r>
    </w:p>
    <w:p w14:paraId="2D57260C" w14:textId="25BEE7C3" w:rsidR="004F5A41" w:rsidRPr="00185375" w:rsidRDefault="004F5A41" w:rsidP="00C04721">
      <w:pPr>
        <w:pStyle w:val="ListParagraph"/>
        <w:numPr>
          <w:ilvl w:val="1"/>
          <w:numId w:val="13"/>
        </w:numPr>
        <w:tabs>
          <w:tab w:val="left" w:pos="432"/>
          <w:tab w:val="left" w:pos="681"/>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List of employees participating in the offering: The General Meeting of Shareholders authorizes the Board of Directors to decide on a specific list of the Board of Leaders and employees eligible to participate in purchasing shares.</w:t>
      </w:r>
    </w:p>
    <w:p w14:paraId="035B5632" w14:textId="2011CCDC" w:rsidR="004F5A41" w:rsidRPr="00185375" w:rsidRDefault="004F5A41" w:rsidP="00C04721">
      <w:pPr>
        <w:pStyle w:val="ListParagraph"/>
        <w:numPr>
          <w:ilvl w:val="1"/>
          <w:numId w:val="13"/>
        </w:numPr>
        <w:tabs>
          <w:tab w:val="left" w:pos="432"/>
          <w:tab w:val="left" w:pos="681"/>
          <w:tab w:val="left" w:pos="682"/>
          <w:tab w:val="left" w:pos="3718"/>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lastRenderedPageBreak/>
        <w:t xml:space="preserve">Transfer conditions: Issued shares are subject to transfer restrictions of at least 01 </w:t>
      </w:r>
      <w:proofErr w:type="gramStart"/>
      <w:r w:rsidRPr="00185375">
        <w:rPr>
          <w:rFonts w:ascii="Arial" w:hAnsi="Arial" w:cs="Arial"/>
          <w:color w:val="010000"/>
          <w:sz w:val="20"/>
        </w:rPr>
        <w:t>year</w:t>
      </w:r>
      <w:proofErr w:type="gramEnd"/>
      <w:r w:rsidRPr="00185375">
        <w:rPr>
          <w:rFonts w:ascii="Arial" w:hAnsi="Arial" w:cs="Arial"/>
          <w:color w:val="010000"/>
          <w:sz w:val="20"/>
        </w:rPr>
        <w:t xml:space="preserve"> from the end of the issuance.</w:t>
      </w:r>
    </w:p>
    <w:p w14:paraId="1AE3DF6E" w14:textId="3841E689" w:rsidR="004F5A41" w:rsidRPr="00185375" w:rsidRDefault="004F5A41" w:rsidP="00C04721">
      <w:pPr>
        <w:pStyle w:val="ListParagraph"/>
        <w:numPr>
          <w:ilvl w:val="1"/>
          <w:numId w:val="13"/>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Plan for handling fractional shares and shares not fully offered for sale in case employees do not buy or only buy a part: The General Meeting of Shareholders authorizes the Board of Directors to determine criteria and distribute the number of shares that need to be distributed to other subjects being employees at a price not lower than VND 10,000/share.</w:t>
      </w:r>
    </w:p>
    <w:p w14:paraId="32FF31FD" w14:textId="77777777" w:rsidR="004F5A41" w:rsidRPr="00185375" w:rsidRDefault="004F5A41" w:rsidP="00C04721">
      <w:pPr>
        <w:pStyle w:val="ListParagraph"/>
        <w:numPr>
          <w:ilvl w:val="1"/>
          <w:numId w:val="13"/>
        </w:numPr>
        <w:tabs>
          <w:tab w:val="left" w:pos="432"/>
          <w:tab w:val="left" w:pos="682"/>
        </w:tabs>
        <w:spacing w:before="0" w:after="120" w:line="360" w:lineRule="auto"/>
        <w:ind w:left="0" w:firstLine="0"/>
        <w:jc w:val="both"/>
        <w:rPr>
          <w:rFonts w:ascii="Arial" w:hAnsi="Arial" w:cs="Arial"/>
          <w:color w:val="010000"/>
          <w:sz w:val="20"/>
        </w:rPr>
      </w:pPr>
      <w:r w:rsidRPr="00185375">
        <w:rPr>
          <w:rFonts w:ascii="Arial" w:hAnsi="Arial" w:cs="Arial"/>
          <w:color w:val="010000"/>
          <w:sz w:val="20"/>
        </w:rPr>
        <w:t>Expected issue date: Expected in 2024.</w:t>
      </w:r>
    </w:p>
    <w:p w14:paraId="032D8524" w14:textId="53C66CEB" w:rsidR="004F5A41" w:rsidRPr="00185375" w:rsidRDefault="004F5A41" w:rsidP="00C04721">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General Meeting of Shareholders authorizes the Board of Directors to decide on a specific time to suit the actual situation.</w:t>
      </w:r>
    </w:p>
    <w:p w14:paraId="04595B79" w14:textId="77777777" w:rsidR="004F5A41" w:rsidRPr="00185375" w:rsidRDefault="004F5A41" w:rsidP="00C04721">
      <w:pPr>
        <w:pStyle w:val="Heading2"/>
        <w:keepLines w:val="0"/>
        <w:numPr>
          <w:ilvl w:val="0"/>
          <w:numId w:val="13"/>
        </w:numPr>
        <w:tabs>
          <w:tab w:val="left" w:pos="432"/>
          <w:tab w:val="left" w:pos="687"/>
        </w:tabs>
        <w:spacing w:before="0" w:after="120" w:line="360" w:lineRule="auto"/>
        <w:ind w:left="0" w:firstLine="0"/>
        <w:jc w:val="both"/>
        <w:rPr>
          <w:rFonts w:ascii="Arial" w:hAnsi="Arial" w:cs="Arial"/>
          <w:b w:val="0"/>
          <w:color w:val="010000"/>
          <w:sz w:val="20"/>
        </w:rPr>
      </w:pPr>
      <w:r w:rsidRPr="00185375">
        <w:rPr>
          <w:rFonts w:ascii="Arial" w:hAnsi="Arial" w:cs="Arial"/>
          <w:b w:val="0"/>
          <w:color w:val="010000"/>
          <w:sz w:val="20"/>
        </w:rPr>
        <w:t>Purpose and the plan on using the proceeds from the offering</w:t>
      </w:r>
    </w:p>
    <w:p w14:paraId="7316D692" w14:textId="75C8EB99" w:rsidR="004F5A41" w:rsidRPr="00185375" w:rsidRDefault="004F5A41" w:rsidP="00C04721">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The entire expected proceeds of VND 6,350,000,000 will be used to supplement the Company's working capital.</w:t>
      </w:r>
    </w:p>
    <w:p w14:paraId="4E3296EA" w14:textId="77777777" w:rsidR="004F5A41" w:rsidRPr="00185375" w:rsidRDefault="004F5A41" w:rsidP="00C04721">
      <w:pPr>
        <w:pStyle w:val="Heading2"/>
        <w:keepLines w:val="0"/>
        <w:numPr>
          <w:ilvl w:val="0"/>
          <w:numId w:val="13"/>
        </w:numPr>
        <w:tabs>
          <w:tab w:val="left" w:pos="432"/>
          <w:tab w:val="left" w:pos="687"/>
        </w:tabs>
        <w:spacing w:before="0" w:after="120" w:line="360" w:lineRule="auto"/>
        <w:ind w:left="0" w:firstLine="0"/>
        <w:jc w:val="both"/>
        <w:rPr>
          <w:rFonts w:ascii="Arial" w:hAnsi="Arial" w:cs="Arial"/>
          <w:b w:val="0"/>
          <w:color w:val="010000"/>
          <w:sz w:val="20"/>
        </w:rPr>
      </w:pPr>
      <w:r w:rsidRPr="00185375">
        <w:rPr>
          <w:rFonts w:ascii="Arial" w:hAnsi="Arial" w:cs="Arial"/>
          <w:b w:val="0"/>
          <w:color w:val="010000"/>
          <w:sz w:val="20"/>
        </w:rPr>
        <w:t>Additional listing and additional depository</w:t>
      </w:r>
    </w:p>
    <w:p w14:paraId="05D471B1" w14:textId="70131EDF" w:rsidR="004F5A41" w:rsidRPr="00185375" w:rsidRDefault="004F5A41" w:rsidP="00C04721">
      <w:pPr>
        <w:pStyle w:val="BodyText"/>
        <w:tabs>
          <w:tab w:val="left" w:pos="432"/>
        </w:tabs>
        <w:spacing w:after="120" w:line="360" w:lineRule="auto"/>
        <w:jc w:val="both"/>
        <w:rPr>
          <w:rFonts w:ascii="Arial" w:hAnsi="Arial" w:cs="Arial"/>
          <w:color w:val="010000"/>
          <w:sz w:val="20"/>
        </w:rPr>
      </w:pPr>
      <w:r w:rsidRPr="00185375">
        <w:rPr>
          <w:rFonts w:ascii="Arial" w:hAnsi="Arial" w:cs="Arial"/>
          <w:color w:val="010000"/>
          <w:sz w:val="20"/>
        </w:rPr>
        <w:t>All additional shares issued will be additionally deposited and listed by the Company according to regulations.</w:t>
      </w:r>
    </w:p>
    <w:p w14:paraId="3DFE2D19" w14:textId="71404EBD"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 xml:space="preserve">Article 9: Approve the investment policy of contributing capital and buying shares at </w:t>
      </w:r>
      <w:proofErr w:type="spellStart"/>
      <w:r w:rsidRPr="00185375">
        <w:rPr>
          <w:rFonts w:ascii="Arial" w:hAnsi="Arial" w:cs="Arial"/>
          <w:color w:val="010000"/>
          <w:sz w:val="20"/>
        </w:rPr>
        <w:t>C</w:t>
      </w:r>
      <w:r w:rsidR="00316A94" w:rsidRPr="00185375">
        <w:rPr>
          <w:rFonts w:ascii="Arial" w:hAnsi="Arial" w:cs="Arial"/>
          <w:color w:val="010000"/>
          <w:sz w:val="20"/>
        </w:rPr>
        <w:t>ô</w:t>
      </w:r>
      <w:r w:rsidRPr="00185375">
        <w:rPr>
          <w:rFonts w:ascii="Arial" w:hAnsi="Arial" w:cs="Arial"/>
          <w:color w:val="010000"/>
          <w:sz w:val="20"/>
        </w:rPr>
        <w:t>ng</w:t>
      </w:r>
      <w:proofErr w:type="spellEnd"/>
      <w:r w:rsidRPr="00185375">
        <w:rPr>
          <w:rFonts w:ascii="Arial" w:hAnsi="Arial" w:cs="Arial"/>
          <w:color w:val="010000"/>
          <w:sz w:val="20"/>
        </w:rPr>
        <w:t xml:space="preserve"> ty </w:t>
      </w:r>
      <w:proofErr w:type="spellStart"/>
      <w:r w:rsidRPr="00185375">
        <w:rPr>
          <w:rFonts w:ascii="Arial" w:hAnsi="Arial" w:cs="Arial"/>
          <w:color w:val="010000"/>
          <w:sz w:val="20"/>
        </w:rPr>
        <w:t>Cổ</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phần</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N</w:t>
      </w:r>
      <w:r w:rsidR="00316A94" w:rsidRPr="00185375">
        <w:rPr>
          <w:rFonts w:ascii="Arial" w:hAnsi="Arial" w:cs="Arial"/>
          <w:color w:val="010000"/>
          <w:sz w:val="20"/>
        </w:rPr>
        <w:t>ô</w:t>
      </w:r>
      <w:r w:rsidRPr="00185375">
        <w:rPr>
          <w:rFonts w:ascii="Arial" w:hAnsi="Arial" w:cs="Arial"/>
          <w:color w:val="010000"/>
          <w:sz w:val="20"/>
        </w:rPr>
        <w:t>ng</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sản</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và</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Dược</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Li</w:t>
      </w:r>
      <w:r w:rsidR="00316A94" w:rsidRPr="00185375">
        <w:rPr>
          <w:rFonts w:ascii="Arial" w:hAnsi="Arial" w:cs="Arial"/>
          <w:color w:val="010000"/>
          <w:sz w:val="20"/>
        </w:rPr>
        <w:t>ệ</w:t>
      </w:r>
      <w:r w:rsidRPr="00185375">
        <w:rPr>
          <w:rFonts w:ascii="Arial" w:hAnsi="Arial" w:cs="Arial"/>
          <w:color w:val="010000"/>
          <w:sz w:val="20"/>
        </w:rPr>
        <w:t>u</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Trà</w:t>
      </w:r>
      <w:proofErr w:type="spellEnd"/>
      <w:r w:rsidRPr="00185375">
        <w:rPr>
          <w:rFonts w:ascii="Arial" w:hAnsi="Arial" w:cs="Arial"/>
          <w:color w:val="010000"/>
          <w:sz w:val="20"/>
        </w:rPr>
        <w:t xml:space="preserve"> My (tentatively translated as </w:t>
      </w:r>
      <w:proofErr w:type="spellStart"/>
      <w:r w:rsidRPr="00185375">
        <w:rPr>
          <w:rFonts w:ascii="Arial" w:hAnsi="Arial" w:cs="Arial"/>
          <w:color w:val="010000"/>
          <w:sz w:val="20"/>
        </w:rPr>
        <w:t>Tra</w:t>
      </w:r>
      <w:proofErr w:type="spellEnd"/>
      <w:r w:rsidRPr="00185375">
        <w:rPr>
          <w:rFonts w:ascii="Arial" w:hAnsi="Arial" w:cs="Arial"/>
          <w:color w:val="010000"/>
          <w:sz w:val="20"/>
        </w:rPr>
        <w:t xml:space="preserve"> My Agricultural Products and Medicinal Materials Joint Stock Company).</w:t>
      </w:r>
    </w:p>
    <w:p w14:paraId="5B14E58E" w14:textId="446D4DD4"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10: Approve the remuneration and bonus levels in 2024 for the Board of Directors, the Supervisory Board and the person in charge of corporate governance</w:t>
      </w:r>
      <w:r w:rsidR="00185375" w:rsidRPr="00185375">
        <w:rPr>
          <w:rFonts w:ascii="Arial" w:hAnsi="Arial" w:cs="Arial"/>
          <w:color w:val="010000"/>
          <w:sz w:val="20"/>
        </w:rPr>
        <w:t>-</w:t>
      </w:r>
      <w:r w:rsidRPr="00185375">
        <w:rPr>
          <w:rFonts w:ascii="Arial" w:hAnsi="Arial" w:cs="Arial"/>
          <w:color w:val="010000"/>
          <w:sz w:val="20"/>
        </w:rPr>
        <w:t>cum-Secretariat of the Board of Directors as follows:</w:t>
      </w:r>
    </w:p>
    <w:p w14:paraId="4BB771BF" w14:textId="77777777" w:rsidR="00112A52" w:rsidRPr="00185375" w:rsidRDefault="004F5A41" w:rsidP="00316A94">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85375">
        <w:rPr>
          <w:rFonts w:ascii="Arial" w:hAnsi="Arial" w:cs="Arial"/>
          <w:color w:val="010000"/>
          <w:sz w:val="20"/>
        </w:rPr>
        <w:t>Remuneration:</w:t>
      </w:r>
    </w:p>
    <w:tbl>
      <w:tblPr>
        <w:tblStyle w:val="a3"/>
        <w:tblW w:w="5000" w:type="pct"/>
        <w:jc w:val="center"/>
        <w:tblLook w:val="0400" w:firstRow="0" w:lastRow="0" w:firstColumn="0" w:lastColumn="0" w:noHBand="0" w:noVBand="1"/>
      </w:tblPr>
      <w:tblGrid>
        <w:gridCol w:w="692"/>
        <w:gridCol w:w="6660"/>
        <w:gridCol w:w="1665"/>
      </w:tblGrid>
      <w:tr w:rsidR="00112A52" w:rsidRPr="00185375" w14:paraId="41E81CED" w14:textId="77777777" w:rsidTr="00316A94">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57937B36"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No.</w:t>
            </w:r>
          </w:p>
        </w:tc>
        <w:tc>
          <w:tcPr>
            <w:tcW w:w="3693" w:type="pct"/>
            <w:tcBorders>
              <w:top w:val="single" w:sz="4" w:space="0" w:color="000000"/>
              <w:left w:val="single" w:sz="4" w:space="0" w:color="000000"/>
            </w:tcBorders>
            <w:shd w:val="clear" w:color="auto" w:fill="auto"/>
            <w:tcMar>
              <w:top w:w="0" w:type="dxa"/>
              <w:bottom w:w="0" w:type="dxa"/>
            </w:tcMar>
            <w:vAlign w:val="center"/>
          </w:tcPr>
          <w:p w14:paraId="4FEAA3C1"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Position</w:t>
            </w:r>
          </w:p>
        </w:tc>
        <w:tc>
          <w:tcPr>
            <w:tcW w:w="9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98F47B"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Remuneration (VND/month)</w:t>
            </w:r>
          </w:p>
        </w:tc>
      </w:tr>
      <w:tr w:rsidR="00112A52" w:rsidRPr="00185375" w14:paraId="5FC2262C" w14:textId="77777777" w:rsidTr="00316A94">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00AA8EE3"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3693" w:type="pct"/>
            <w:tcBorders>
              <w:top w:val="single" w:sz="4" w:space="0" w:color="000000"/>
              <w:left w:val="single" w:sz="4" w:space="0" w:color="000000"/>
            </w:tcBorders>
            <w:shd w:val="clear" w:color="auto" w:fill="auto"/>
            <w:tcMar>
              <w:top w:w="0" w:type="dxa"/>
              <w:bottom w:w="0" w:type="dxa"/>
            </w:tcMar>
            <w:vAlign w:val="center"/>
          </w:tcPr>
          <w:p w14:paraId="2A384553"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Chair of the Board of Directors</w:t>
            </w:r>
          </w:p>
        </w:tc>
        <w:tc>
          <w:tcPr>
            <w:tcW w:w="9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C85719"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15,000,000</w:t>
            </w:r>
          </w:p>
        </w:tc>
      </w:tr>
      <w:tr w:rsidR="00112A52" w:rsidRPr="00185375" w14:paraId="02541E10" w14:textId="77777777" w:rsidTr="00316A94">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363F3E1A"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3693" w:type="pct"/>
            <w:tcBorders>
              <w:top w:val="single" w:sz="4" w:space="0" w:color="000000"/>
              <w:left w:val="single" w:sz="4" w:space="0" w:color="000000"/>
            </w:tcBorders>
            <w:shd w:val="clear" w:color="auto" w:fill="auto"/>
            <w:tcMar>
              <w:top w:w="0" w:type="dxa"/>
              <w:bottom w:w="0" w:type="dxa"/>
            </w:tcMar>
            <w:vAlign w:val="center"/>
          </w:tcPr>
          <w:p w14:paraId="333E364D"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Members of the Board of Directors</w:t>
            </w:r>
          </w:p>
        </w:tc>
        <w:tc>
          <w:tcPr>
            <w:tcW w:w="9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B5ED0E"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10,000,000</w:t>
            </w:r>
          </w:p>
        </w:tc>
      </w:tr>
      <w:tr w:rsidR="00112A52" w:rsidRPr="00185375" w14:paraId="4EABA5EE" w14:textId="77777777" w:rsidTr="00185375">
        <w:trPr>
          <w:jc w:val="center"/>
        </w:trPr>
        <w:tc>
          <w:tcPr>
            <w:tcW w:w="38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7011F58C"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3</w:t>
            </w:r>
          </w:p>
        </w:tc>
        <w:tc>
          <w:tcPr>
            <w:tcW w:w="3693"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7C05DC5E"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Chief of the Supervisory Board</w:t>
            </w:r>
          </w:p>
        </w:tc>
        <w:tc>
          <w:tcPr>
            <w:tcW w:w="923"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7E3F145"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10,000,000</w:t>
            </w:r>
          </w:p>
        </w:tc>
      </w:tr>
      <w:tr w:rsidR="00112A52" w:rsidRPr="00185375" w14:paraId="1BE57B07" w14:textId="77777777" w:rsidTr="00185375">
        <w:trPr>
          <w:jc w:val="center"/>
        </w:trPr>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096857"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4</w:t>
            </w:r>
          </w:p>
        </w:tc>
        <w:tc>
          <w:tcPr>
            <w:tcW w:w="369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F49305"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Member of the Supervisory Board</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B8F03F"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5,000,000</w:t>
            </w:r>
          </w:p>
        </w:tc>
      </w:tr>
      <w:tr w:rsidR="00112A52" w:rsidRPr="00185375" w14:paraId="79D1B406" w14:textId="77777777" w:rsidTr="00185375">
        <w:trPr>
          <w:jc w:val="center"/>
        </w:trPr>
        <w:tc>
          <w:tcPr>
            <w:tcW w:w="3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DAD82B9" w14:textId="77777777"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5</w:t>
            </w:r>
          </w:p>
        </w:tc>
        <w:tc>
          <w:tcPr>
            <w:tcW w:w="369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7CE27B" w14:textId="73468A6E" w:rsidR="00112A52" w:rsidRPr="00185375" w:rsidRDefault="004F5A41"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 xml:space="preserve">Person in charge of corporate governance </w:t>
            </w:r>
            <w:r w:rsidR="00185375" w:rsidRPr="00185375">
              <w:rPr>
                <w:rFonts w:ascii="Arial" w:hAnsi="Arial" w:cs="Arial"/>
                <w:color w:val="010000"/>
                <w:sz w:val="20"/>
              </w:rPr>
              <w:t>-</w:t>
            </w:r>
            <w:r w:rsidRPr="00185375">
              <w:rPr>
                <w:rFonts w:ascii="Arial" w:hAnsi="Arial" w:cs="Arial"/>
                <w:color w:val="010000"/>
                <w:sz w:val="20"/>
              </w:rPr>
              <w:t>cum-Secretariat of the Board of Directors</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09320C" w14:textId="77777777" w:rsidR="00112A52" w:rsidRPr="00185375" w:rsidRDefault="004F5A41" w:rsidP="00C0472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375">
              <w:rPr>
                <w:rFonts w:ascii="Arial" w:hAnsi="Arial" w:cs="Arial"/>
                <w:color w:val="010000"/>
                <w:sz w:val="20"/>
              </w:rPr>
              <w:t>5,000,000</w:t>
            </w:r>
          </w:p>
        </w:tc>
      </w:tr>
    </w:tbl>
    <w:p w14:paraId="7CF436D3"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Remuneration of the Board of Directors, the Supervisory Board and the Secretariat in 2024 is expected to be paid in 2 installments in the first 6 months of the year and the last 6 months of the year.</w:t>
      </w:r>
    </w:p>
    <w:p w14:paraId="3FE8252D" w14:textId="77777777" w:rsidR="00112A52" w:rsidRPr="00185375" w:rsidRDefault="004F5A41" w:rsidP="00316A94">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85375">
        <w:rPr>
          <w:rFonts w:ascii="Arial" w:hAnsi="Arial" w:cs="Arial"/>
          <w:color w:val="010000"/>
          <w:sz w:val="20"/>
        </w:rPr>
        <w:t>Bonus:</w:t>
      </w:r>
    </w:p>
    <w:p w14:paraId="47E7182C"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lastRenderedPageBreak/>
        <w:t xml:space="preserve">In case of exceeding the profit after tax plan, the Board of Directors propose to the General Meeting of Shareholders to consider a bonus for the Board of Directors, the Supervisory Board and the Secretariat. </w:t>
      </w:r>
    </w:p>
    <w:p w14:paraId="07972E3F"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11: Approve not distributing profits for 2023, not making appropriations for funds, and not making dividend payments for 2023.</w:t>
      </w:r>
    </w:p>
    <w:p w14:paraId="4DD5EDB2"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12: Dismiss Mr. Nguyen Ho Hung and Mr. Vo Qui Lam from the position of member of the Board of Directors of Lam Dong Pharmaceutical JSC (</w:t>
      </w:r>
      <w:proofErr w:type="spellStart"/>
      <w:r w:rsidRPr="00185375">
        <w:rPr>
          <w:rFonts w:ascii="Arial" w:hAnsi="Arial" w:cs="Arial"/>
          <w:color w:val="010000"/>
          <w:sz w:val="20"/>
        </w:rPr>
        <w:t>Ladophar</w:t>
      </w:r>
      <w:proofErr w:type="spellEnd"/>
      <w:r w:rsidRPr="00185375">
        <w:rPr>
          <w:rFonts w:ascii="Arial" w:hAnsi="Arial" w:cs="Arial"/>
          <w:color w:val="010000"/>
          <w:sz w:val="20"/>
        </w:rPr>
        <w:t>) in the 2022-2027 term, from April 10, 2024.</w:t>
      </w:r>
    </w:p>
    <w:p w14:paraId="230C9218"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13: Appoint the following persons as members of the Board of Directors of Lam Dong Pharmaceutical JSC (</w:t>
      </w:r>
      <w:proofErr w:type="spellStart"/>
      <w:r w:rsidRPr="00185375">
        <w:rPr>
          <w:rFonts w:ascii="Arial" w:hAnsi="Arial" w:cs="Arial"/>
          <w:color w:val="010000"/>
          <w:sz w:val="20"/>
        </w:rPr>
        <w:t>Ladophar</w:t>
      </w:r>
      <w:proofErr w:type="spellEnd"/>
      <w:r w:rsidRPr="00185375">
        <w:rPr>
          <w:rFonts w:ascii="Arial" w:hAnsi="Arial" w:cs="Arial"/>
          <w:color w:val="010000"/>
          <w:sz w:val="20"/>
        </w:rPr>
        <w:t>) for the 2022 - 2027 term, starting on April 10, 2024:</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2"/>
        <w:gridCol w:w="4761"/>
        <w:gridCol w:w="3134"/>
      </w:tblGrid>
      <w:tr w:rsidR="00186078" w:rsidRPr="00185375" w14:paraId="742A1044" w14:textId="77777777" w:rsidTr="00186078">
        <w:trPr>
          <w:jc w:val="center"/>
        </w:trPr>
        <w:tc>
          <w:tcPr>
            <w:tcW w:w="622" w:type="pct"/>
            <w:shd w:val="clear" w:color="auto" w:fill="auto"/>
            <w:tcMar>
              <w:top w:w="0" w:type="dxa"/>
              <w:bottom w:w="0" w:type="dxa"/>
            </w:tcMar>
            <w:vAlign w:val="center"/>
          </w:tcPr>
          <w:p w14:paraId="344D60AF"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No.</w:t>
            </w:r>
          </w:p>
        </w:tc>
        <w:tc>
          <w:tcPr>
            <w:tcW w:w="2640" w:type="pct"/>
            <w:shd w:val="clear" w:color="auto" w:fill="auto"/>
            <w:tcMar>
              <w:top w:w="0" w:type="dxa"/>
              <w:bottom w:w="0" w:type="dxa"/>
            </w:tcMar>
            <w:vAlign w:val="center"/>
          </w:tcPr>
          <w:p w14:paraId="1782FBBC"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Full name</w:t>
            </w:r>
          </w:p>
        </w:tc>
        <w:tc>
          <w:tcPr>
            <w:tcW w:w="1738" w:type="pct"/>
            <w:shd w:val="clear" w:color="auto" w:fill="auto"/>
            <w:tcMar>
              <w:top w:w="0" w:type="dxa"/>
              <w:bottom w:w="0" w:type="dxa"/>
            </w:tcMar>
            <w:vAlign w:val="center"/>
          </w:tcPr>
          <w:p w14:paraId="17000CD4"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Position</w:t>
            </w:r>
          </w:p>
        </w:tc>
      </w:tr>
      <w:tr w:rsidR="00186078" w:rsidRPr="00185375" w14:paraId="22F3A5C3" w14:textId="77777777" w:rsidTr="00186078">
        <w:trPr>
          <w:jc w:val="center"/>
        </w:trPr>
        <w:tc>
          <w:tcPr>
            <w:tcW w:w="622" w:type="pct"/>
            <w:shd w:val="clear" w:color="auto" w:fill="auto"/>
            <w:tcMar>
              <w:top w:w="0" w:type="dxa"/>
              <w:bottom w:w="0" w:type="dxa"/>
            </w:tcMar>
            <w:vAlign w:val="center"/>
          </w:tcPr>
          <w:p w14:paraId="0CBF08A0"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1</w:t>
            </w:r>
          </w:p>
        </w:tc>
        <w:tc>
          <w:tcPr>
            <w:tcW w:w="2640" w:type="pct"/>
            <w:shd w:val="clear" w:color="auto" w:fill="auto"/>
            <w:tcMar>
              <w:top w:w="0" w:type="dxa"/>
              <w:bottom w:w="0" w:type="dxa"/>
            </w:tcMar>
            <w:vAlign w:val="center"/>
          </w:tcPr>
          <w:p w14:paraId="17BAA8C9"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Nguyen Thi Hong Giang</w:t>
            </w:r>
          </w:p>
        </w:tc>
        <w:tc>
          <w:tcPr>
            <w:tcW w:w="1738" w:type="pct"/>
            <w:shd w:val="clear" w:color="auto" w:fill="auto"/>
            <w:tcMar>
              <w:top w:w="0" w:type="dxa"/>
              <w:bottom w:w="0" w:type="dxa"/>
            </w:tcMar>
            <w:vAlign w:val="center"/>
          </w:tcPr>
          <w:p w14:paraId="6EE9E582"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Members of the Board of Directors</w:t>
            </w:r>
          </w:p>
        </w:tc>
      </w:tr>
      <w:tr w:rsidR="00186078" w:rsidRPr="00185375" w14:paraId="5E03FA25" w14:textId="77777777" w:rsidTr="00186078">
        <w:trPr>
          <w:jc w:val="center"/>
        </w:trPr>
        <w:tc>
          <w:tcPr>
            <w:tcW w:w="622" w:type="pct"/>
            <w:shd w:val="clear" w:color="auto" w:fill="auto"/>
            <w:tcMar>
              <w:top w:w="0" w:type="dxa"/>
              <w:bottom w:w="0" w:type="dxa"/>
            </w:tcMar>
            <w:vAlign w:val="center"/>
          </w:tcPr>
          <w:p w14:paraId="782ADE83"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2</w:t>
            </w:r>
          </w:p>
        </w:tc>
        <w:tc>
          <w:tcPr>
            <w:tcW w:w="2640" w:type="pct"/>
            <w:shd w:val="clear" w:color="auto" w:fill="auto"/>
            <w:tcMar>
              <w:top w:w="0" w:type="dxa"/>
              <w:bottom w:w="0" w:type="dxa"/>
            </w:tcMar>
            <w:vAlign w:val="center"/>
          </w:tcPr>
          <w:p w14:paraId="1FA73C08" w14:textId="77777777"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 xml:space="preserve">Dang Thuy </w:t>
            </w:r>
            <w:proofErr w:type="spellStart"/>
            <w:r w:rsidRPr="00185375">
              <w:rPr>
                <w:rFonts w:ascii="Arial" w:hAnsi="Arial" w:cs="Arial"/>
                <w:color w:val="010000"/>
                <w:sz w:val="20"/>
              </w:rPr>
              <w:t>Linh</w:t>
            </w:r>
            <w:proofErr w:type="spellEnd"/>
          </w:p>
        </w:tc>
        <w:tc>
          <w:tcPr>
            <w:tcW w:w="1738" w:type="pct"/>
            <w:shd w:val="clear" w:color="auto" w:fill="auto"/>
            <w:tcMar>
              <w:top w:w="0" w:type="dxa"/>
              <w:bottom w:w="0" w:type="dxa"/>
            </w:tcMar>
            <w:vAlign w:val="center"/>
          </w:tcPr>
          <w:p w14:paraId="1678992C" w14:textId="51A21448" w:rsidR="00186078" w:rsidRPr="00185375" w:rsidRDefault="00186078" w:rsidP="00316A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85375">
              <w:rPr>
                <w:rFonts w:ascii="Arial" w:hAnsi="Arial" w:cs="Arial"/>
                <w:color w:val="010000"/>
                <w:sz w:val="20"/>
              </w:rPr>
              <w:t>Members of the Board of Directors</w:t>
            </w:r>
          </w:p>
        </w:tc>
      </w:tr>
    </w:tbl>
    <w:p w14:paraId="59A0490A"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As a result, the list of Members of the Board of Directors for the 2022-2027 term of Lam Dong Pharmaceutical JSC (</w:t>
      </w:r>
      <w:proofErr w:type="spellStart"/>
      <w:r w:rsidRPr="00185375">
        <w:rPr>
          <w:rFonts w:ascii="Arial" w:hAnsi="Arial" w:cs="Arial"/>
          <w:color w:val="010000"/>
          <w:sz w:val="20"/>
        </w:rPr>
        <w:t>Ladophar</w:t>
      </w:r>
      <w:proofErr w:type="spellEnd"/>
      <w:r w:rsidRPr="00185375">
        <w:rPr>
          <w:rFonts w:ascii="Arial" w:hAnsi="Arial" w:cs="Arial"/>
          <w:color w:val="010000"/>
          <w:sz w:val="20"/>
        </w:rPr>
        <w:t>) currently includes the following:</w:t>
      </w:r>
    </w:p>
    <w:p w14:paraId="751ED82D" w14:textId="77777777" w:rsidR="00112A52" w:rsidRPr="00185375" w:rsidRDefault="004F5A41" w:rsidP="00C04721">
      <w:pPr>
        <w:numPr>
          <w:ilvl w:val="0"/>
          <w:numId w:val="12"/>
        </w:numPr>
        <w:pBdr>
          <w:top w:val="nil"/>
          <w:left w:val="nil"/>
          <w:bottom w:val="nil"/>
          <w:right w:val="nil"/>
          <w:between w:val="nil"/>
        </w:pBdr>
        <w:tabs>
          <w:tab w:val="left" w:pos="419"/>
          <w:tab w:val="left" w:pos="3576"/>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 xml:space="preserve">Pham </w:t>
      </w:r>
      <w:proofErr w:type="spellStart"/>
      <w:r w:rsidRPr="00185375">
        <w:rPr>
          <w:rFonts w:ascii="Arial" w:hAnsi="Arial" w:cs="Arial"/>
          <w:color w:val="010000"/>
          <w:sz w:val="20"/>
        </w:rPr>
        <w:t>Trung</w:t>
      </w:r>
      <w:proofErr w:type="spellEnd"/>
      <w:r w:rsidRPr="00185375">
        <w:rPr>
          <w:rFonts w:ascii="Arial" w:hAnsi="Arial" w:cs="Arial"/>
          <w:color w:val="010000"/>
          <w:sz w:val="20"/>
        </w:rPr>
        <w:t xml:space="preserve"> </w:t>
      </w:r>
      <w:proofErr w:type="spellStart"/>
      <w:r w:rsidRPr="00185375">
        <w:rPr>
          <w:rFonts w:ascii="Arial" w:hAnsi="Arial" w:cs="Arial"/>
          <w:color w:val="010000"/>
          <w:sz w:val="20"/>
        </w:rPr>
        <w:t>Kien</w:t>
      </w:r>
      <w:proofErr w:type="spellEnd"/>
      <w:r w:rsidRPr="00185375">
        <w:rPr>
          <w:rFonts w:ascii="Arial" w:hAnsi="Arial" w:cs="Arial"/>
          <w:color w:val="010000"/>
          <w:sz w:val="20"/>
        </w:rPr>
        <w:t xml:space="preserve"> - Chair of the Board of Directors</w:t>
      </w:r>
    </w:p>
    <w:p w14:paraId="3B58247E" w14:textId="77777777" w:rsidR="00112A52" w:rsidRPr="00185375" w:rsidRDefault="004F5A41" w:rsidP="00C04721">
      <w:pPr>
        <w:numPr>
          <w:ilvl w:val="0"/>
          <w:numId w:val="12"/>
        </w:numPr>
        <w:pBdr>
          <w:top w:val="nil"/>
          <w:left w:val="nil"/>
          <w:bottom w:val="nil"/>
          <w:right w:val="nil"/>
          <w:between w:val="nil"/>
        </w:pBdr>
        <w:tabs>
          <w:tab w:val="left" w:pos="419"/>
          <w:tab w:val="center" w:pos="3638"/>
          <w:tab w:val="left" w:pos="4253"/>
          <w:tab w:val="right" w:pos="5403"/>
          <w:tab w:val="center" w:pos="5637"/>
          <w:tab w:val="left" w:pos="5998"/>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Le Xuan Thanh - Independent member of the Board of Directors</w:t>
      </w:r>
    </w:p>
    <w:p w14:paraId="3F7CD036" w14:textId="77777777" w:rsidR="00112A52" w:rsidRPr="00185375" w:rsidRDefault="004F5A41" w:rsidP="00C04721">
      <w:pPr>
        <w:numPr>
          <w:ilvl w:val="0"/>
          <w:numId w:val="12"/>
        </w:numPr>
        <w:pBdr>
          <w:top w:val="nil"/>
          <w:left w:val="nil"/>
          <w:bottom w:val="nil"/>
          <w:right w:val="nil"/>
          <w:between w:val="nil"/>
        </w:pBdr>
        <w:tabs>
          <w:tab w:val="left" w:pos="419"/>
          <w:tab w:val="center" w:pos="3638"/>
          <w:tab w:val="left" w:pos="4253"/>
          <w:tab w:val="right" w:pos="5403"/>
          <w:tab w:val="center" w:pos="5637"/>
          <w:tab w:val="left" w:pos="6018"/>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 xml:space="preserve">Le Tien </w:t>
      </w:r>
      <w:proofErr w:type="spellStart"/>
      <w:r w:rsidRPr="00185375">
        <w:rPr>
          <w:rFonts w:ascii="Arial" w:hAnsi="Arial" w:cs="Arial"/>
          <w:color w:val="010000"/>
          <w:sz w:val="20"/>
        </w:rPr>
        <w:t>Thinh</w:t>
      </w:r>
      <w:proofErr w:type="spellEnd"/>
      <w:r w:rsidRPr="00185375">
        <w:rPr>
          <w:rFonts w:ascii="Arial" w:hAnsi="Arial" w:cs="Arial"/>
          <w:color w:val="010000"/>
          <w:sz w:val="20"/>
        </w:rPr>
        <w:t xml:space="preserve"> - Member of the Board of Directors</w:t>
      </w:r>
    </w:p>
    <w:p w14:paraId="324C8AAC" w14:textId="77777777" w:rsidR="00112A52" w:rsidRPr="00185375" w:rsidRDefault="004F5A41" w:rsidP="00C04721">
      <w:pPr>
        <w:numPr>
          <w:ilvl w:val="0"/>
          <w:numId w:val="12"/>
        </w:numPr>
        <w:pBdr>
          <w:top w:val="nil"/>
          <w:left w:val="nil"/>
          <w:bottom w:val="nil"/>
          <w:right w:val="nil"/>
          <w:between w:val="nil"/>
        </w:pBdr>
        <w:tabs>
          <w:tab w:val="left" w:pos="419"/>
          <w:tab w:val="center" w:pos="3638"/>
          <w:tab w:val="left" w:pos="4253"/>
          <w:tab w:val="right" w:pos="5403"/>
          <w:tab w:val="center" w:pos="5637"/>
          <w:tab w:val="left" w:pos="6018"/>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 xml:space="preserve">Dang Thuy </w:t>
      </w:r>
      <w:proofErr w:type="spellStart"/>
      <w:r w:rsidRPr="00185375">
        <w:rPr>
          <w:rFonts w:ascii="Arial" w:hAnsi="Arial" w:cs="Arial"/>
          <w:color w:val="010000"/>
          <w:sz w:val="20"/>
        </w:rPr>
        <w:t>Linh</w:t>
      </w:r>
      <w:proofErr w:type="spellEnd"/>
      <w:r w:rsidRPr="00185375">
        <w:rPr>
          <w:rFonts w:ascii="Arial" w:hAnsi="Arial" w:cs="Arial"/>
          <w:color w:val="010000"/>
          <w:sz w:val="20"/>
        </w:rPr>
        <w:t xml:space="preserve"> - Member of the Board of Directors</w:t>
      </w:r>
    </w:p>
    <w:p w14:paraId="3D70C745" w14:textId="77777777" w:rsidR="00112A52" w:rsidRPr="00185375" w:rsidRDefault="004F5A41" w:rsidP="00C04721">
      <w:pPr>
        <w:numPr>
          <w:ilvl w:val="0"/>
          <w:numId w:val="12"/>
        </w:numPr>
        <w:pBdr>
          <w:top w:val="nil"/>
          <w:left w:val="nil"/>
          <w:bottom w:val="nil"/>
          <w:right w:val="nil"/>
          <w:between w:val="nil"/>
        </w:pBdr>
        <w:tabs>
          <w:tab w:val="left" w:pos="419"/>
          <w:tab w:val="center" w:pos="3638"/>
          <w:tab w:val="left" w:pos="4253"/>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Nguyen Thi Hong Giang - Member of the Board of Directors</w:t>
      </w:r>
    </w:p>
    <w:p w14:paraId="2A99734A" w14:textId="77777777" w:rsidR="00112A52" w:rsidRPr="00185375" w:rsidRDefault="004F5A41" w:rsidP="00C0472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375">
        <w:rPr>
          <w:rFonts w:ascii="Arial" w:hAnsi="Arial" w:cs="Arial"/>
          <w:color w:val="010000"/>
          <w:sz w:val="20"/>
        </w:rPr>
        <w:t>Article 14: Terms of enforcement</w:t>
      </w:r>
    </w:p>
    <w:p w14:paraId="5BE8B3D3" w14:textId="77777777" w:rsidR="00112A52" w:rsidRPr="00185375" w:rsidRDefault="004F5A41" w:rsidP="00C0472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The Annual General Mandate 2024 of Lam Dong Pharmaceutical JSC (</w:t>
      </w:r>
      <w:proofErr w:type="spellStart"/>
      <w:r w:rsidRPr="00185375">
        <w:rPr>
          <w:rFonts w:ascii="Arial" w:hAnsi="Arial" w:cs="Arial"/>
          <w:color w:val="010000"/>
          <w:sz w:val="20"/>
        </w:rPr>
        <w:t>Ladophar</w:t>
      </w:r>
      <w:proofErr w:type="spellEnd"/>
      <w:r w:rsidRPr="00185375">
        <w:rPr>
          <w:rFonts w:ascii="Arial" w:hAnsi="Arial" w:cs="Arial"/>
          <w:color w:val="010000"/>
          <w:sz w:val="20"/>
        </w:rPr>
        <w:t>) has been unanimously approved in front of all shareholders/authorized representatives of shareholders attending the Meeting and takes effect from April 10, 2024.</w:t>
      </w:r>
    </w:p>
    <w:p w14:paraId="09478C9C" w14:textId="77777777" w:rsidR="00112A52" w:rsidRPr="00185375" w:rsidRDefault="004F5A41" w:rsidP="00C0472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375">
        <w:rPr>
          <w:rFonts w:ascii="Arial" w:hAnsi="Arial" w:cs="Arial"/>
          <w:color w:val="010000"/>
          <w:sz w:val="20"/>
        </w:rPr>
        <w:t>Members of the Board of Directors, the Supervisory Board, the Board of Management and departments, units under Lam Dong Pharmaceutical JSC (</w:t>
      </w:r>
      <w:proofErr w:type="spellStart"/>
      <w:r w:rsidRPr="00185375">
        <w:rPr>
          <w:rFonts w:ascii="Arial" w:hAnsi="Arial" w:cs="Arial"/>
          <w:color w:val="010000"/>
          <w:sz w:val="20"/>
        </w:rPr>
        <w:t>Ladophar</w:t>
      </w:r>
      <w:proofErr w:type="spellEnd"/>
      <w:r w:rsidRPr="00185375">
        <w:rPr>
          <w:rFonts w:ascii="Arial" w:hAnsi="Arial" w:cs="Arial"/>
          <w:color w:val="010000"/>
          <w:sz w:val="20"/>
        </w:rPr>
        <w:t>) is responsible for implementing this General Mandate in accorda</w:t>
      </w:r>
      <w:bookmarkStart w:id="0" w:name="_GoBack"/>
      <w:bookmarkEnd w:id="0"/>
      <w:r w:rsidRPr="00185375">
        <w:rPr>
          <w:rFonts w:ascii="Arial" w:hAnsi="Arial" w:cs="Arial"/>
          <w:color w:val="010000"/>
          <w:sz w:val="20"/>
        </w:rPr>
        <w:t>nce with the provisions of Law and the Company's Charter.</w:t>
      </w:r>
    </w:p>
    <w:sectPr w:rsidR="00112A52" w:rsidRPr="00185375" w:rsidSect="00316A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64C"/>
    <w:multiLevelType w:val="multilevel"/>
    <w:tmpl w:val="132CC4D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05112"/>
    <w:multiLevelType w:val="multilevel"/>
    <w:tmpl w:val="F1E0DD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C3A42"/>
    <w:multiLevelType w:val="multilevel"/>
    <w:tmpl w:val="052E290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B2CB2"/>
    <w:multiLevelType w:val="multilevel"/>
    <w:tmpl w:val="D346B1B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E26E4"/>
    <w:multiLevelType w:val="multilevel"/>
    <w:tmpl w:val="81449C9C"/>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C3099"/>
    <w:multiLevelType w:val="multilevel"/>
    <w:tmpl w:val="686460F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D11128"/>
    <w:multiLevelType w:val="multilevel"/>
    <w:tmpl w:val="C2A48AE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F0B62"/>
    <w:multiLevelType w:val="multilevel"/>
    <w:tmpl w:val="5FD2747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713F9"/>
    <w:multiLevelType w:val="hybridMultilevel"/>
    <w:tmpl w:val="25DE3D06"/>
    <w:lvl w:ilvl="0" w:tplc="31D0444E">
      <w:start w:val="1"/>
      <w:numFmt w:val="upperLetter"/>
      <w:lvlText w:val="%1."/>
      <w:lvlJc w:val="left"/>
      <w:pPr>
        <w:ind w:left="686" w:hanging="567"/>
      </w:pPr>
      <w:rPr>
        <w:rFonts w:ascii="Arial" w:eastAsia="Times New Roman" w:hAnsi="Arial" w:cs="Arial" w:hint="default"/>
        <w:b w:val="0"/>
        <w:bCs/>
        <w:i w:val="0"/>
        <w:spacing w:val="-1"/>
        <w:w w:val="99"/>
        <w:sz w:val="20"/>
        <w:szCs w:val="24"/>
        <w:u w:val="none"/>
        <w:lang w:val="vi" w:eastAsia="en-US" w:bidi="ar-SA"/>
      </w:rPr>
    </w:lvl>
    <w:lvl w:ilvl="1" w:tplc="5C3E3038">
      <w:numFmt w:val="bullet"/>
      <w:lvlText w:val="•"/>
      <w:lvlJc w:val="left"/>
      <w:pPr>
        <w:ind w:left="1600" w:hanging="567"/>
      </w:pPr>
      <w:rPr>
        <w:rFonts w:ascii="Arial" w:hAnsi="Arial" w:cs="Arial" w:hint="default"/>
        <w:b w:val="0"/>
        <w:i w:val="0"/>
        <w:sz w:val="20"/>
        <w:lang w:val="vi" w:eastAsia="en-US" w:bidi="ar-SA"/>
      </w:rPr>
    </w:lvl>
    <w:lvl w:ilvl="2" w:tplc="9522DBCA">
      <w:numFmt w:val="bullet"/>
      <w:lvlText w:val="•"/>
      <w:lvlJc w:val="left"/>
      <w:pPr>
        <w:ind w:left="2521" w:hanging="567"/>
      </w:pPr>
      <w:rPr>
        <w:rFonts w:ascii="Arial" w:hAnsi="Arial" w:cs="Arial" w:hint="default"/>
        <w:b w:val="0"/>
        <w:i w:val="0"/>
        <w:sz w:val="20"/>
        <w:lang w:val="vi" w:eastAsia="en-US" w:bidi="ar-SA"/>
      </w:rPr>
    </w:lvl>
    <w:lvl w:ilvl="3" w:tplc="ED022E00">
      <w:numFmt w:val="bullet"/>
      <w:lvlText w:val="•"/>
      <w:lvlJc w:val="left"/>
      <w:pPr>
        <w:ind w:left="3441" w:hanging="567"/>
      </w:pPr>
      <w:rPr>
        <w:rFonts w:hint="default"/>
        <w:lang w:val="vi" w:eastAsia="en-US" w:bidi="ar-SA"/>
      </w:rPr>
    </w:lvl>
    <w:lvl w:ilvl="4" w:tplc="1CF2CDA6">
      <w:numFmt w:val="bullet"/>
      <w:lvlText w:val="•"/>
      <w:lvlJc w:val="left"/>
      <w:pPr>
        <w:ind w:left="4362" w:hanging="567"/>
      </w:pPr>
      <w:rPr>
        <w:rFonts w:hint="default"/>
        <w:lang w:val="vi" w:eastAsia="en-US" w:bidi="ar-SA"/>
      </w:rPr>
    </w:lvl>
    <w:lvl w:ilvl="5" w:tplc="F3048B60">
      <w:numFmt w:val="bullet"/>
      <w:lvlText w:val="•"/>
      <w:lvlJc w:val="left"/>
      <w:pPr>
        <w:ind w:left="5283" w:hanging="567"/>
      </w:pPr>
      <w:rPr>
        <w:rFonts w:hint="default"/>
        <w:lang w:val="vi" w:eastAsia="en-US" w:bidi="ar-SA"/>
      </w:rPr>
    </w:lvl>
    <w:lvl w:ilvl="6" w:tplc="54EEC8F4">
      <w:numFmt w:val="bullet"/>
      <w:lvlText w:val="•"/>
      <w:lvlJc w:val="left"/>
      <w:pPr>
        <w:ind w:left="6203" w:hanging="567"/>
      </w:pPr>
      <w:rPr>
        <w:rFonts w:hint="default"/>
        <w:lang w:val="vi" w:eastAsia="en-US" w:bidi="ar-SA"/>
      </w:rPr>
    </w:lvl>
    <w:lvl w:ilvl="7" w:tplc="C61E018C">
      <w:numFmt w:val="bullet"/>
      <w:lvlText w:val="•"/>
      <w:lvlJc w:val="left"/>
      <w:pPr>
        <w:ind w:left="7124" w:hanging="567"/>
      </w:pPr>
      <w:rPr>
        <w:rFonts w:hint="default"/>
        <w:lang w:val="vi" w:eastAsia="en-US" w:bidi="ar-SA"/>
      </w:rPr>
    </w:lvl>
    <w:lvl w:ilvl="8" w:tplc="C3FE58FC">
      <w:numFmt w:val="bullet"/>
      <w:lvlText w:val="•"/>
      <w:lvlJc w:val="left"/>
      <w:pPr>
        <w:ind w:left="8045" w:hanging="567"/>
      </w:pPr>
      <w:rPr>
        <w:rFonts w:hint="default"/>
        <w:lang w:val="vi" w:eastAsia="en-US" w:bidi="ar-SA"/>
      </w:rPr>
    </w:lvl>
  </w:abstractNum>
  <w:abstractNum w:abstractNumId="9" w15:restartNumberingAfterBreak="0">
    <w:nsid w:val="59F01859"/>
    <w:multiLevelType w:val="multilevel"/>
    <w:tmpl w:val="C8669BE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09622C"/>
    <w:multiLevelType w:val="multilevel"/>
    <w:tmpl w:val="A6520AF2"/>
    <w:lvl w:ilvl="0">
      <w:start w:val="1"/>
      <w:numFmt w:val="decimal"/>
      <w:lvlText w:val="1.%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861052"/>
    <w:multiLevelType w:val="multilevel"/>
    <w:tmpl w:val="A47E24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170CD0"/>
    <w:multiLevelType w:val="hybridMultilevel"/>
    <w:tmpl w:val="EA2896FE"/>
    <w:lvl w:ilvl="0" w:tplc="BE2C2A8E">
      <w:start w:val="1"/>
      <w:numFmt w:val="upperRoman"/>
      <w:lvlText w:val="%1."/>
      <w:lvlJc w:val="left"/>
      <w:pPr>
        <w:ind w:left="686" w:hanging="567"/>
      </w:pPr>
      <w:rPr>
        <w:rFonts w:ascii="Arial" w:eastAsia="Times New Roman" w:hAnsi="Arial" w:cs="Arial" w:hint="default"/>
        <w:b w:val="0"/>
        <w:bCs/>
        <w:i w:val="0"/>
        <w:w w:val="99"/>
        <w:sz w:val="20"/>
        <w:szCs w:val="24"/>
        <w:u w:val="none"/>
        <w:lang w:val="vi" w:eastAsia="en-US" w:bidi="ar-SA"/>
      </w:rPr>
    </w:lvl>
    <w:lvl w:ilvl="1" w:tplc="B50AF112">
      <w:start w:val="1"/>
      <w:numFmt w:val="decimal"/>
      <w:lvlText w:val="%2."/>
      <w:lvlJc w:val="left"/>
      <w:pPr>
        <w:ind w:left="682" w:hanging="567"/>
      </w:pPr>
      <w:rPr>
        <w:rFonts w:ascii="Arial" w:eastAsia="Times New Roman" w:hAnsi="Arial" w:cs="Arial" w:hint="default"/>
        <w:b w:val="0"/>
        <w:i w:val="0"/>
        <w:w w:val="100"/>
        <w:sz w:val="20"/>
        <w:szCs w:val="24"/>
        <w:lang w:val="vi" w:eastAsia="en-US" w:bidi="ar-SA"/>
      </w:rPr>
    </w:lvl>
    <w:lvl w:ilvl="2" w:tplc="FA2CFE30">
      <w:numFmt w:val="bullet"/>
      <w:lvlText w:val="•"/>
      <w:lvlJc w:val="left"/>
      <w:pPr>
        <w:ind w:left="4618" w:hanging="567"/>
      </w:pPr>
      <w:rPr>
        <w:rFonts w:ascii="Arial" w:hAnsi="Arial" w:cs="Arial" w:hint="default"/>
        <w:b w:val="0"/>
        <w:i w:val="0"/>
        <w:sz w:val="20"/>
        <w:lang w:val="vi" w:eastAsia="en-US" w:bidi="ar-SA"/>
      </w:rPr>
    </w:lvl>
    <w:lvl w:ilvl="3" w:tplc="8E5845AA">
      <w:numFmt w:val="bullet"/>
      <w:lvlText w:val="•"/>
      <w:lvlJc w:val="left"/>
      <w:pPr>
        <w:ind w:left="5276" w:hanging="567"/>
      </w:pPr>
      <w:rPr>
        <w:rFonts w:hint="default"/>
        <w:lang w:val="vi" w:eastAsia="en-US" w:bidi="ar-SA"/>
      </w:rPr>
    </w:lvl>
    <w:lvl w:ilvl="4" w:tplc="FEB4E650">
      <w:numFmt w:val="bullet"/>
      <w:lvlText w:val="•"/>
      <w:lvlJc w:val="left"/>
      <w:pPr>
        <w:ind w:left="5935" w:hanging="567"/>
      </w:pPr>
      <w:rPr>
        <w:rFonts w:hint="default"/>
        <w:lang w:val="vi" w:eastAsia="en-US" w:bidi="ar-SA"/>
      </w:rPr>
    </w:lvl>
    <w:lvl w:ilvl="5" w:tplc="286AF272">
      <w:numFmt w:val="bullet"/>
      <w:lvlText w:val="•"/>
      <w:lvlJc w:val="left"/>
      <w:pPr>
        <w:ind w:left="6593" w:hanging="567"/>
      </w:pPr>
      <w:rPr>
        <w:rFonts w:hint="default"/>
        <w:lang w:val="vi" w:eastAsia="en-US" w:bidi="ar-SA"/>
      </w:rPr>
    </w:lvl>
    <w:lvl w:ilvl="6" w:tplc="839EA512">
      <w:numFmt w:val="bullet"/>
      <w:lvlText w:val="•"/>
      <w:lvlJc w:val="left"/>
      <w:pPr>
        <w:ind w:left="7252" w:hanging="567"/>
      </w:pPr>
      <w:rPr>
        <w:rFonts w:hint="default"/>
        <w:lang w:val="vi" w:eastAsia="en-US" w:bidi="ar-SA"/>
      </w:rPr>
    </w:lvl>
    <w:lvl w:ilvl="7" w:tplc="26C84406">
      <w:numFmt w:val="bullet"/>
      <w:lvlText w:val="•"/>
      <w:lvlJc w:val="left"/>
      <w:pPr>
        <w:ind w:left="7910" w:hanging="567"/>
      </w:pPr>
      <w:rPr>
        <w:rFonts w:hint="default"/>
        <w:lang w:val="vi" w:eastAsia="en-US" w:bidi="ar-SA"/>
      </w:rPr>
    </w:lvl>
    <w:lvl w:ilvl="8" w:tplc="29088E38">
      <w:numFmt w:val="bullet"/>
      <w:lvlText w:val="•"/>
      <w:lvlJc w:val="left"/>
      <w:pPr>
        <w:ind w:left="8569" w:hanging="567"/>
      </w:pPr>
      <w:rPr>
        <w:rFonts w:hint="default"/>
        <w:lang w:val="vi" w:eastAsia="en-US" w:bidi="ar-SA"/>
      </w:rPr>
    </w:lvl>
  </w:abstractNum>
  <w:abstractNum w:abstractNumId="13" w15:restartNumberingAfterBreak="0">
    <w:nsid w:val="68F13D1C"/>
    <w:multiLevelType w:val="hybridMultilevel"/>
    <w:tmpl w:val="2A22D0FA"/>
    <w:lvl w:ilvl="0" w:tplc="978EA37E">
      <w:start w:val="1"/>
      <w:numFmt w:val="upperRoman"/>
      <w:lvlText w:val="%1."/>
      <w:lvlJc w:val="left"/>
      <w:pPr>
        <w:ind w:left="686" w:hanging="567"/>
      </w:pPr>
      <w:rPr>
        <w:rFonts w:ascii="Arial" w:eastAsia="Times New Roman" w:hAnsi="Arial" w:cs="Arial" w:hint="default"/>
        <w:b w:val="0"/>
        <w:bCs/>
        <w:i w:val="0"/>
        <w:w w:val="99"/>
        <w:sz w:val="20"/>
        <w:szCs w:val="24"/>
        <w:u w:val="none"/>
        <w:lang w:val="vi" w:eastAsia="en-US" w:bidi="ar-SA"/>
      </w:rPr>
    </w:lvl>
    <w:lvl w:ilvl="1" w:tplc="DA3A75FE">
      <w:start w:val="1"/>
      <w:numFmt w:val="decimal"/>
      <w:lvlText w:val="%2."/>
      <w:lvlJc w:val="left"/>
      <w:pPr>
        <w:ind w:left="682" w:hanging="567"/>
      </w:pPr>
      <w:rPr>
        <w:rFonts w:ascii="Arial" w:eastAsia="Times New Roman" w:hAnsi="Arial" w:cs="Arial" w:hint="default"/>
        <w:b w:val="0"/>
        <w:i w:val="0"/>
        <w:w w:val="100"/>
        <w:sz w:val="20"/>
        <w:szCs w:val="24"/>
        <w:lang w:val="vi" w:eastAsia="en-US" w:bidi="ar-SA"/>
      </w:rPr>
    </w:lvl>
    <w:lvl w:ilvl="2" w:tplc="A4D4FAE6">
      <w:numFmt w:val="bullet"/>
      <w:lvlText w:val="•"/>
      <w:lvlJc w:val="left"/>
      <w:pPr>
        <w:ind w:left="1464" w:hanging="567"/>
      </w:pPr>
      <w:rPr>
        <w:rFonts w:ascii="Arial" w:hAnsi="Arial" w:cs="Arial" w:hint="default"/>
        <w:b w:val="0"/>
        <w:i w:val="0"/>
        <w:sz w:val="20"/>
        <w:lang w:val="vi" w:eastAsia="en-US" w:bidi="ar-SA"/>
      </w:rPr>
    </w:lvl>
    <w:lvl w:ilvl="3" w:tplc="B240EEE8">
      <w:numFmt w:val="bullet"/>
      <w:lvlText w:val="•"/>
      <w:lvlJc w:val="left"/>
      <w:pPr>
        <w:ind w:left="2108" w:hanging="567"/>
      </w:pPr>
      <w:rPr>
        <w:rFonts w:hint="default"/>
        <w:lang w:val="vi" w:eastAsia="en-US" w:bidi="ar-SA"/>
      </w:rPr>
    </w:lvl>
    <w:lvl w:ilvl="4" w:tplc="E0D4B568">
      <w:numFmt w:val="bullet"/>
      <w:lvlText w:val="•"/>
      <w:lvlJc w:val="left"/>
      <w:pPr>
        <w:ind w:left="2752" w:hanging="567"/>
      </w:pPr>
      <w:rPr>
        <w:rFonts w:hint="default"/>
        <w:lang w:val="vi" w:eastAsia="en-US" w:bidi="ar-SA"/>
      </w:rPr>
    </w:lvl>
    <w:lvl w:ilvl="5" w:tplc="D646C88A">
      <w:numFmt w:val="bullet"/>
      <w:lvlText w:val="•"/>
      <w:lvlJc w:val="left"/>
      <w:pPr>
        <w:ind w:left="3396" w:hanging="567"/>
      </w:pPr>
      <w:rPr>
        <w:rFonts w:hint="default"/>
        <w:lang w:val="vi" w:eastAsia="en-US" w:bidi="ar-SA"/>
      </w:rPr>
    </w:lvl>
    <w:lvl w:ilvl="6" w:tplc="0B3C7D70">
      <w:numFmt w:val="bullet"/>
      <w:lvlText w:val="•"/>
      <w:lvlJc w:val="left"/>
      <w:pPr>
        <w:ind w:left="4040" w:hanging="567"/>
      </w:pPr>
      <w:rPr>
        <w:rFonts w:hint="default"/>
        <w:lang w:val="vi" w:eastAsia="en-US" w:bidi="ar-SA"/>
      </w:rPr>
    </w:lvl>
    <w:lvl w:ilvl="7" w:tplc="9A20378E">
      <w:numFmt w:val="bullet"/>
      <w:lvlText w:val="•"/>
      <w:lvlJc w:val="left"/>
      <w:pPr>
        <w:ind w:left="4684" w:hanging="567"/>
      </w:pPr>
      <w:rPr>
        <w:rFonts w:hint="default"/>
        <w:lang w:val="vi" w:eastAsia="en-US" w:bidi="ar-SA"/>
      </w:rPr>
    </w:lvl>
    <w:lvl w:ilvl="8" w:tplc="B228334E">
      <w:numFmt w:val="bullet"/>
      <w:lvlText w:val="•"/>
      <w:lvlJc w:val="left"/>
      <w:pPr>
        <w:ind w:left="5328" w:hanging="567"/>
      </w:pPr>
      <w:rPr>
        <w:rFonts w:hint="default"/>
        <w:lang w:val="vi" w:eastAsia="en-US" w:bidi="ar-SA"/>
      </w:rPr>
    </w:lvl>
  </w:abstractNum>
  <w:abstractNum w:abstractNumId="14" w15:restartNumberingAfterBreak="0">
    <w:nsid w:val="7F662E1A"/>
    <w:multiLevelType w:val="multilevel"/>
    <w:tmpl w:val="960E0910"/>
    <w:lvl w:ilvl="0">
      <w:start w:val="1"/>
      <w:numFmt w:val="decimal"/>
      <w:lvlText w:val="1.%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6"/>
  </w:num>
  <w:num w:numId="4">
    <w:abstractNumId w:val="14"/>
  </w:num>
  <w:num w:numId="5">
    <w:abstractNumId w:val="2"/>
  </w:num>
  <w:num w:numId="6">
    <w:abstractNumId w:val="5"/>
  </w:num>
  <w:num w:numId="7">
    <w:abstractNumId w:val="11"/>
  </w:num>
  <w:num w:numId="8">
    <w:abstractNumId w:val="4"/>
  </w:num>
  <w:num w:numId="9">
    <w:abstractNumId w:val="7"/>
  </w:num>
  <w:num w:numId="10">
    <w:abstractNumId w:val="0"/>
  </w:num>
  <w:num w:numId="11">
    <w:abstractNumId w:val="9"/>
  </w:num>
  <w:num w:numId="12">
    <w:abstractNumId w:val="1"/>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52"/>
    <w:rsid w:val="00112A52"/>
    <w:rsid w:val="00185375"/>
    <w:rsid w:val="00186078"/>
    <w:rsid w:val="00316A94"/>
    <w:rsid w:val="004F5A41"/>
    <w:rsid w:val="00914633"/>
    <w:rsid w:val="00C04721"/>
    <w:rsid w:val="00E33B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0FAB"/>
  <w15:docId w15:val="{1BB4716C-94ED-4268-A62D-44A1A017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230"/>
    </w:pPr>
    <w:rPr>
      <w:rFonts w:ascii="Arial" w:eastAsia="Arial" w:hAnsi="Arial" w:cs="Arial"/>
      <w:b/>
      <w:bCs/>
      <w:sz w:val="14"/>
      <w:szCs w:val="14"/>
    </w:rPr>
  </w:style>
  <w:style w:type="paragraph" w:customStyle="1" w:styleId="Heading11">
    <w:name w:val="Heading #1"/>
    <w:basedOn w:val="Normal"/>
    <w:link w:val="Heading10"/>
    <w:pPr>
      <w:spacing w:after="40" w:line="266" w:lineRule="auto"/>
      <w:ind w:left="502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after="380" w:line="286" w:lineRule="auto"/>
      <w:ind w:left="2570"/>
      <w:jc w:val="center"/>
      <w:outlineLvl w:val="1"/>
    </w:pPr>
    <w:rPr>
      <w:rFonts w:ascii="Times New Roman" w:eastAsia="Times New Roman" w:hAnsi="Times New Roman" w:cs="Times New Roman"/>
      <w:b/>
      <w:bCs/>
      <w:sz w:val="28"/>
      <w:szCs w:val="28"/>
    </w:rPr>
  </w:style>
  <w:style w:type="paragraph" w:customStyle="1" w:styleId="Other0">
    <w:name w:val="Other"/>
    <w:basedOn w:val="Normal"/>
    <w:link w:val="Other"/>
    <w:pPr>
      <w:spacing w:line="26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2" w:lineRule="auto"/>
    </w:pPr>
    <w:rPr>
      <w:rFonts w:ascii="Times New Roman" w:eastAsia="Times New Roman" w:hAnsi="Times New Roman" w:cs="Times New Roman"/>
      <w:sz w:val="22"/>
      <w:szCs w:val="22"/>
    </w:rPr>
  </w:style>
  <w:style w:type="paragraph" w:customStyle="1" w:styleId="Heading31">
    <w:name w:val="Heading #3"/>
    <w:basedOn w:val="Normal"/>
    <w:link w:val="Heading30"/>
    <w:pPr>
      <w:outlineLvl w:val="2"/>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1"/>
    <w:qFormat/>
    <w:rsid w:val="004F5A41"/>
    <w:pPr>
      <w:autoSpaceDE w:val="0"/>
      <w:autoSpaceDN w:val="0"/>
      <w:spacing w:before="90"/>
      <w:ind w:left="686" w:hanging="567"/>
    </w:pPr>
    <w:rPr>
      <w:rFonts w:ascii="Times New Roman" w:eastAsia="Times New Roman" w:hAnsi="Times New Roman" w:cs="Times New Roman"/>
      <w:color w:val="auto"/>
      <w:sz w:val="22"/>
      <w:szCs w:val="22"/>
      <w:lang w:eastAsia="en-US"/>
    </w:rPr>
  </w:style>
  <w:style w:type="paragraph" w:customStyle="1" w:styleId="TableParagraph">
    <w:name w:val="Table Paragraph"/>
    <w:basedOn w:val="Normal"/>
    <w:uiPriority w:val="1"/>
    <w:qFormat/>
    <w:rsid w:val="004F5A41"/>
    <w:pPr>
      <w:autoSpaceDE w:val="0"/>
      <w:autoSpaceDN w:val="0"/>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V0AJgiLuhZACX9woCOfaaWTQQ==">CgMxLjA4AHIhMV9GRG5OQTd5RC13X2IwNlpqZUU2OFJRUUljbDY0MFc5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6</cp:revision>
  <dcterms:created xsi:type="dcterms:W3CDTF">2024-04-15T18:16:00Z</dcterms:created>
  <dcterms:modified xsi:type="dcterms:W3CDTF">2024-04-16T03:20:00Z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2647ec13e0fda3d29b5e2c814f4323d86ef6a36d52f13e9a345418e0ac19e2a3</vt:lpwstr>
  </property>
</Properties>
</file>