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79DAC"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603B1C">
        <w:rPr>
          <w:rFonts w:ascii="Arial" w:hAnsi="Arial" w:cs="Arial"/>
          <w:b/>
          <w:color w:val="010000"/>
          <w:sz w:val="20"/>
        </w:rPr>
        <w:t>TNS: Annual General Mandate 2024</w:t>
      </w:r>
    </w:p>
    <w:p w14:paraId="28F8D1DD" w14:textId="05ACA79E"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On April 10, 2024, Thong Nhat Flat steel Joint stock company announced </w:t>
      </w:r>
      <w:r w:rsidR="00145006" w:rsidRPr="00603B1C">
        <w:rPr>
          <w:rFonts w:ascii="Arial" w:hAnsi="Arial" w:cs="Arial"/>
          <w:color w:val="010000"/>
          <w:sz w:val="20"/>
        </w:rPr>
        <w:t>General Mandate</w:t>
      </w:r>
      <w:r w:rsidRPr="00603B1C">
        <w:rPr>
          <w:rFonts w:ascii="Arial" w:hAnsi="Arial" w:cs="Arial"/>
          <w:color w:val="010000"/>
          <w:sz w:val="20"/>
        </w:rPr>
        <w:t xml:space="preserve"> No. 01/2024/NQ-DHDCD as follows:</w:t>
      </w:r>
    </w:p>
    <w:p w14:paraId="6C97C0DB" w14:textId="2B009D91" w:rsidR="00623C6F" w:rsidRPr="00603B1C" w:rsidRDefault="005F7730" w:rsidP="00D92119">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1.</w:t>
      </w:r>
      <w:proofErr w:type="gramEnd"/>
      <w:r w:rsidRPr="00603B1C">
        <w:rPr>
          <w:rFonts w:ascii="Arial" w:hAnsi="Arial" w:cs="Arial"/>
          <w:color w:val="010000"/>
          <w:sz w:val="20"/>
        </w:rPr>
        <w:t xml:space="preserve"> </w:t>
      </w:r>
      <w:r w:rsidR="00145006" w:rsidRPr="00603B1C">
        <w:rPr>
          <w:rFonts w:ascii="Arial" w:hAnsi="Arial" w:cs="Arial"/>
          <w:color w:val="010000"/>
          <w:sz w:val="20"/>
        </w:rPr>
        <w:t>Approve</w:t>
      </w:r>
      <w:r w:rsidRPr="00603B1C">
        <w:rPr>
          <w:rFonts w:ascii="Arial" w:hAnsi="Arial" w:cs="Arial"/>
          <w:color w:val="010000"/>
          <w:sz w:val="20"/>
        </w:rPr>
        <w:t xml:space="preserve"> </w:t>
      </w:r>
      <w:r w:rsidR="00145006" w:rsidRPr="00603B1C">
        <w:rPr>
          <w:rFonts w:ascii="Arial" w:hAnsi="Arial" w:cs="Arial"/>
          <w:color w:val="010000"/>
          <w:sz w:val="20"/>
        </w:rPr>
        <w:t>income statement</w:t>
      </w:r>
      <w:r w:rsidRPr="00603B1C">
        <w:rPr>
          <w:rFonts w:ascii="Arial" w:hAnsi="Arial" w:cs="Arial"/>
          <w:color w:val="010000"/>
          <w:sz w:val="20"/>
        </w:rPr>
        <w:t xml:space="preserve"> 2023 (attached report)</w:t>
      </w:r>
    </w:p>
    <w:p w14:paraId="14CE8CE5"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agreed to approve the report on business results and financial situation of the Company in 2023, which was audited by AASC Auditing Company.</w:t>
      </w:r>
    </w:p>
    <w:tbl>
      <w:tblPr>
        <w:tblStyle w:val="a"/>
        <w:tblW w:w="5000" w:type="pct"/>
        <w:tblLook w:val="0400" w:firstRow="0" w:lastRow="0" w:firstColumn="0" w:lastColumn="0" w:noHBand="0" w:noVBand="1"/>
      </w:tblPr>
      <w:tblGrid>
        <w:gridCol w:w="2825"/>
        <w:gridCol w:w="1341"/>
        <w:gridCol w:w="1348"/>
        <w:gridCol w:w="1359"/>
        <w:gridCol w:w="1096"/>
        <w:gridCol w:w="1078"/>
      </w:tblGrid>
      <w:tr w:rsidR="00623C6F" w:rsidRPr="00603B1C" w14:paraId="1478CC5B" w14:textId="77777777" w:rsidTr="005F7730">
        <w:tc>
          <w:tcPr>
            <w:tcW w:w="1561" w:type="pct"/>
            <w:vMerge w:val="restart"/>
            <w:tcBorders>
              <w:top w:val="single" w:sz="4" w:space="0" w:color="000000"/>
              <w:left w:val="single" w:sz="4" w:space="0" w:color="000000"/>
            </w:tcBorders>
            <w:shd w:val="clear" w:color="auto" w:fill="auto"/>
            <w:vAlign w:val="center"/>
          </w:tcPr>
          <w:p w14:paraId="52FFE011" w14:textId="77777777"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Targets</w:t>
            </w:r>
          </w:p>
        </w:tc>
        <w:tc>
          <w:tcPr>
            <w:tcW w:w="741" w:type="pct"/>
            <w:vMerge w:val="restart"/>
            <w:tcBorders>
              <w:top w:val="single" w:sz="4" w:space="0" w:color="000000"/>
              <w:left w:val="single" w:sz="4" w:space="0" w:color="000000"/>
            </w:tcBorders>
            <w:shd w:val="clear" w:color="auto" w:fill="auto"/>
            <w:vAlign w:val="center"/>
          </w:tcPr>
          <w:p w14:paraId="3D43D2D4" w14:textId="79B2956C"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2022</w:t>
            </w:r>
            <w:r w:rsidR="00145006" w:rsidRPr="00603B1C">
              <w:rPr>
                <w:rFonts w:ascii="Arial" w:hAnsi="Arial" w:cs="Arial"/>
                <w:color w:val="010000"/>
                <w:sz w:val="20"/>
              </w:rPr>
              <w:t xml:space="preserve"> Results</w:t>
            </w:r>
          </w:p>
        </w:tc>
        <w:tc>
          <w:tcPr>
            <w:tcW w:w="1496" w:type="pct"/>
            <w:gridSpan w:val="2"/>
            <w:tcBorders>
              <w:top w:val="single" w:sz="4" w:space="0" w:color="000000"/>
              <w:left w:val="single" w:sz="4" w:space="0" w:color="000000"/>
            </w:tcBorders>
            <w:shd w:val="clear" w:color="auto" w:fill="auto"/>
            <w:vAlign w:val="center"/>
          </w:tcPr>
          <w:p w14:paraId="6DFBE302" w14:textId="77777777"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In 2023</w:t>
            </w:r>
          </w:p>
        </w:tc>
        <w:tc>
          <w:tcPr>
            <w:tcW w:w="1202" w:type="pct"/>
            <w:gridSpan w:val="2"/>
            <w:tcBorders>
              <w:top w:val="single" w:sz="4" w:space="0" w:color="000000"/>
              <w:left w:val="single" w:sz="4" w:space="0" w:color="000000"/>
              <w:right w:val="single" w:sz="4" w:space="0" w:color="000000"/>
            </w:tcBorders>
            <w:shd w:val="clear" w:color="auto" w:fill="auto"/>
            <w:vAlign w:val="center"/>
          </w:tcPr>
          <w:p w14:paraId="7340B551" w14:textId="3491966B"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Comparison rate</w:t>
            </w:r>
          </w:p>
        </w:tc>
      </w:tr>
      <w:tr w:rsidR="00623C6F" w:rsidRPr="00603B1C" w14:paraId="54F50533" w14:textId="77777777" w:rsidTr="005F7730">
        <w:tc>
          <w:tcPr>
            <w:tcW w:w="1561" w:type="pct"/>
            <w:vMerge/>
            <w:tcBorders>
              <w:top w:val="single" w:sz="4" w:space="0" w:color="000000"/>
              <w:left w:val="single" w:sz="4" w:space="0" w:color="000000"/>
            </w:tcBorders>
            <w:shd w:val="clear" w:color="auto" w:fill="auto"/>
            <w:vAlign w:val="center"/>
          </w:tcPr>
          <w:p w14:paraId="79447022" w14:textId="77777777" w:rsidR="00623C6F" w:rsidRPr="00603B1C" w:rsidRDefault="00623C6F" w:rsidP="00D9211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41" w:type="pct"/>
            <w:vMerge/>
            <w:tcBorders>
              <w:top w:val="single" w:sz="4" w:space="0" w:color="000000"/>
              <w:left w:val="single" w:sz="4" w:space="0" w:color="000000"/>
            </w:tcBorders>
            <w:shd w:val="clear" w:color="auto" w:fill="auto"/>
            <w:vAlign w:val="center"/>
          </w:tcPr>
          <w:p w14:paraId="518EC794" w14:textId="77777777" w:rsidR="00623C6F" w:rsidRPr="00603B1C" w:rsidRDefault="00623C6F" w:rsidP="00D92119">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45" w:type="pct"/>
            <w:tcBorders>
              <w:top w:val="single" w:sz="4" w:space="0" w:color="000000"/>
              <w:left w:val="single" w:sz="4" w:space="0" w:color="000000"/>
            </w:tcBorders>
            <w:shd w:val="clear" w:color="auto" w:fill="auto"/>
            <w:vAlign w:val="center"/>
          </w:tcPr>
          <w:p w14:paraId="6D8B6316" w14:textId="4BA70535"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Plan</w:t>
            </w:r>
          </w:p>
        </w:tc>
        <w:tc>
          <w:tcPr>
            <w:tcW w:w="750" w:type="pct"/>
            <w:tcBorders>
              <w:top w:val="single" w:sz="4" w:space="0" w:color="000000"/>
              <w:left w:val="single" w:sz="4" w:space="0" w:color="000000"/>
            </w:tcBorders>
            <w:shd w:val="clear" w:color="auto" w:fill="auto"/>
            <w:vAlign w:val="center"/>
          </w:tcPr>
          <w:p w14:paraId="17653988" w14:textId="31FADDBC" w:rsidR="00623C6F" w:rsidRPr="00603B1C" w:rsidRDefault="00145006"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Results</w:t>
            </w:r>
          </w:p>
        </w:tc>
        <w:tc>
          <w:tcPr>
            <w:tcW w:w="606" w:type="pct"/>
            <w:tcBorders>
              <w:top w:val="single" w:sz="4" w:space="0" w:color="000000"/>
              <w:left w:val="single" w:sz="4" w:space="0" w:color="000000"/>
            </w:tcBorders>
            <w:shd w:val="clear" w:color="auto" w:fill="auto"/>
            <w:vAlign w:val="center"/>
          </w:tcPr>
          <w:p w14:paraId="215CD7AC" w14:textId="77777777"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 compared to the Plan</w:t>
            </w:r>
          </w:p>
        </w:tc>
        <w:tc>
          <w:tcPr>
            <w:tcW w:w="596" w:type="pct"/>
            <w:tcBorders>
              <w:top w:val="single" w:sz="4" w:space="0" w:color="000000"/>
              <w:left w:val="single" w:sz="4" w:space="0" w:color="000000"/>
              <w:right w:val="single" w:sz="4" w:space="0" w:color="000000"/>
            </w:tcBorders>
            <w:shd w:val="clear" w:color="auto" w:fill="auto"/>
            <w:vAlign w:val="center"/>
          </w:tcPr>
          <w:p w14:paraId="01CA9CFB" w14:textId="77777777" w:rsidR="00623C6F" w:rsidRPr="00603B1C" w:rsidRDefault="005F7730" w:rsidP="00D921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 compared to that of 2022</w:t>
            </w:r>
          </w:p>
        </w:tc>
      </w:tr>
      <w:tr w:rsidR="00623C6F" w:rsidRPr="00603B1C" w14:paraId="111E62C9" w14:textId="77777777" w:rsidTr="005F7730">
        <w:tc>
          <w:tcPr>
            <w:tcW w:w="1561" w:type="pct"/>
            <w:tcBorders>
              <w:top w:val="single" w:sz="4" w:space="0" w:color="000000"/>
              <w:left w:val="single" w:sz="4" w:space="0" w:color="000000"/>
            </w:tcBorders>
            <w:shd w:val="clear" w:color="auto" w:fill="auto"/>
            <w:vAlign w:val="center"/>
          </w:tcPr>
          <w:p w14:paraId="56D56253" w14:textId="77777777" w:rsidR="00623C6F" w:rsidRPr="00D92119" w:rsidRDefault="005F7730" w:rsidP="005F7730">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D92119">
              <w:rPr>
                <w:rFonts w:ascii="Arial" w:hAnsi="Arial" w:cs="Arial"/>
                <w:b/>
                <w:color w:val="010000"/>
                <w:sz w:val="20"/>
              </w:rPr>
              <w:t>Production (ton)</w:t>
            </w:r>
          </w:p>
        </w:tc>
        <w:tc>
          <w:tcPr>
            <w:tcW w:w="741" w:type="pct"/>
            <w:tcBorders>
              <w:top w:val="single" w:sz="4" w:space="0" w:color="000000"/>
              <w:left w:val="single" w:sz="4" w:space="0" w:color="000000"/>
            </w:tcBorders>
            <w:shd w:val="clear" w:color="auto" w:fill="auto"/>
            <w:vAlign w:val="center"/>
          </w:tcPr>
          <w:p w14:paraId="5329F11A"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103,943</w:t>
            </w:r>
          </w:p>
        </w:tc>
        <w:tc>
          <w:tcPr>
            <w:tcW w:w="745" w:type="pct"/>
            <w:tcBorders>
              <w:top w:val="single" w:sz="4" w:space="0" w:color="000000"/>
              <w:left w:val="single" w:sz="4" w:space="0" w:color="000000"/>
            </w:tcBorders>
            <w:shd w:val="clear" w:color="auto" w:fill="auto"/>
            <w:vAlign w:val="center"/>
          </w:tcPr>
          <w:p w14:paraId="0B136251"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120,000</w:t>
            </w:r>
          </w:p>
        </w:tc>
        <w:tc>
          <w:tcPr>
            <w:tcW w:w="750" w:type="pct"/>
            <w:tcBorders>
              <w:top w:val="single" w:sz="4" w:space="0" w:color="000000"/>
              <w:left w:val="single" w:sz="4" w:space="0" w:color="000000"/>
            </w:tcBorders>
            <w:shd w:val="clear" w:color="auto" w:fill="auto"/>
            <w:vAlign w:val="center"/>
          </w:tcPr>
          <w:p w14:paraId="01AF782C"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142,770</w:t>
            </w:r>
          </w:p>
        </w:tc>
        <w:tc>
          <w:tcPr>
            <w:tcW w:w="606" w:type="pct"/>
            <w:tcBorders>
              <w:top w:val="single" w:sz="4" w:space="0" w:color="000000"/>
              <w:left w:val="single" w:sz="4" w:space="0" w:color="000000"/>
            </w:tcBorders>
            <w:shd w:val="clear" w:color="auto" w:fill="auto"/>
            <w:vAlign w:val="center"/>
          </w:tcPr>
          <w:p w14:paraId="43A1F30C"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119</w:t>
            </w:r>
          </w:p>
        </w:tc>
        <w:tc>
          <w:tcPr>
            <w:tcW w:w="596" w:type="pct"/>
            <w:tcBorders>
              <w:top w:val="single" w:sz="4" w:space="0" w:color="000000"/>
              <w:left w:val="single" w:sz="4" w:space="0" w:color="000000"/>
              <w:right w:val="single" w:sz="4" w:space="0" w:color="000000"/>
            </w:tcBorders>
            <w:shd w:val="clear" w:color="auto" w:fill="auto"/>
            <w:vAlign w:val="center"/>
          </w:tcPr>
          <w:p w14:paraId="36F5DCA4"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+37</w:t>
            </w:r>
          </w:p>
        </w:tc>
      </w:tr>
      <w:tr w:rsidR="00623C6F" w:rsidRPr="00603B1C" w14:paraId="1E2FD772" w14:textId="77777777" w:rsidTr="005F7730">
        <w:tc>
          <w:tcPr>
            <w:tcW w:w="1561" w:type="pct"/>
            <w:tcBorders>
              <w:top w:val="single" w:sz="4" w:space="0" w:color="000000"/>
              <w:left w:val="single" w:sz="4" w:space="0" w:color="000000"/>
            </w:tcBorders>
            <w:shd w:val="clear" w:color="auto" w:fill="auto"/>
            <w:vAlign w:val="center"/>
          </w:tcPr>
          <w:p w14:paraId="55C07F60"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Key products</w:t>
            </w:r>
          </w:p>
        </w:tc>
        <w:tc>
          <w:tcPr>
            <w:tcW w:w="741" w:type="pct"/>
            <w:tcBorders>
              <w:top w:val="single" w:sz="4" w:space="0" w:color="000000"/>
              <w:left w:val="single" w:sz="4" w:space="0" w:color="000000"/>
            </w:tcBorders>
            <w:shd w:val="clear" w:color="auto" w:fill="auto"/>
            <w:vAlign w:val="center"/>
          </w:tcPr>
          <w:p w14:paraId="54E37538"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24,028</w:t>
            </w:r>
          </w:p>
        </w:tc>
        <w:tc>
          <w:tcPr>
            <w:tcW w:w="745" w:type="pct"/>
            <w:tcBorders>
              <w:top w:val="single" w:sz="4" w:space="0" w:color="000000"/>
              <w:left w:val="single" w:sz="4" w:space="0" w:color="000000"/>
            </w:tcBorders>
            <w:shd w:val="clear" w:color="auto" w:fill="auto"/>
            <w:vAlign w:val="center"/>
          </w:tcPr>
          <w:p w14:paraId="3514BC09"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30,000</w:t>
            </w:r>
          </w:p>
        </w:tc>
        <w:tc>
          <w:tcPr>
            <w:tcW w:w="750" w:type="pct"/>
            <w:tcBorders>
              <w:top w:val="single" w:sz="4" w:space="0" w:color="000000"/>
              <w:left w:val="single" w:sz="4" w:space="0" w:color="000000"/>
            </w:tcBorders>
            <w:shd w:val="clear" w:color="auto" w:fill="auto"/>
            <w:vAlign w:val="center"/>
          </w:tcPr>
          <w:p w14:paraId="777E852D"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64,118</w:t>
            </w:r>
          </w:p>
        </w:tc>
        <w:tc>
          <w:tcPr>
            <w:tcW w:w="606" w:type="pct"/>
            <w:tcBorders>
              <w:top w:val="single" w:sz="4" w:space="0" w:color="000000"/>
              <w:left w:val="single" w:sz="4" w:space="0" w:color="000000"/>
            </w:tcBorders>
            <w:shd w:val="clear" w:color="auto" w:fill="auto"/>
            <w:vAlign w:val="center"/>
          </w:tcPr>
          <w:p w14:paraId="4BC7FC5E"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214</w:t>
            </w:r>
          </w:p>
        </w:tc>
        <w:tc>
          <w:tcPr>
            <w:tcW w:w="596" w:type="pct"/>
            <w:tcBorders>
              <w:top w:val="single" w:sz="4" w:space="0" w:color="000000"/>
              <w:left w:val="single" w:sz="4" w:space="0" w:color="000000"/>
              <w:right w:val="single" w:sz="4" w:space="0" w:color="000000"/>
            </w:tcBorders>
            <w:shd w:val="clear" w:color="auto" w:fill="auto"/>
            <w:vAlign w:val="center"/>
          </w:tcPr>
          <w:p w14:paraId="52298713"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+ 167</w:t>
            </w:r>
          </w:p>
        </w:tc>
      </w:tr>
      <w:tr w:rsidR="00623C6F" w:rsidRPr="00603B1C" w14:paraId="4AF5E466" w14:textId="77777777" w:rsidTr="005F7730">
        <w:tc>
          <w:tcPr>
            <w:tcW w:w="1561" w:type="pct"/>
            <w:tcBorders>
              <w:top w:val="single" w:sz="4" w:space="0" w:color="000000"/>
              <w:left w:val="single" w:sz="4" w:space="0" w:color="000000"/>
            </w:tcBorders>
            <w:shd w:val="clear" w:color="auto" w:fill="auto"/>
            <w:vAlign w:val="center"/>
          </w:tcPr>
          <w:p w14:paraId="2C68E757"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Processing</w:t>
            </w:r>
          </w:p>
        </w:tc>
        <w:tc>
          <w:tcPr>
            <w:tcW w:w="741" w:type="pct"/>
            <w:tcBorders>
              <w:top w:val="single" w:sz="4" w:space="0" w:color="000000"/>
              <w:left w:val="single" w:sz="4" w:space="0" w:color="000000"/>
            </w:tcBorders>
            <w:shd w:val="clear" w:color="auto" w:fill="auto"/>
            <w:vAlign w:val="center"/>
          </w:tcPr>
          <w:p w14:paraId="4F7FAD8D"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79,915</w:t>
            </w:r>
          </w:p>
        </w:tc>
        <w:tc>
          <w:tcPr>
            <w:tcW w:w="745" w:type="pct"/>
            <w:tcBorders>
              <w:top w:val="single" w:sz="4" w:space="0" w:color="000000"/>
              <w:left w:val="single" w:sz="4" w:space="0" w:color="000000"/>
            </w:tcBorders>
            <w:shd w:val="clear" w:color="auto" w:fill="auto"/>
            <w:vAlign w:val="center"/>
          </w:tcPr>
          <w:p w14:paraId="7031D5DB"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90,000</w:t>
            </w:r>
          </w:p>
        </w:tc>
        <w:tc>
          <w:tcPr>
            <w:tcW w:w="750" w:type="pct"/>
            <w:tcBorders>
              <w:top w:val="single" w:sz="4" w:space="0" w:color="000000"/>
              <w:left w:val="single" w:sz="4" w:space="0" w:color="000000"/>
            </w:tcBorders>
            <w:shd w:val="clear" w:color="auto" w:fill="auto"/>
            <w:vAlign w:val="center"/>
          </w:tcPr>
          <w:p w14:paraId="42E63861"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78,652</w:t>
            </w:r>
          </w:p>
        </w:tc>
        <w:tc>
          <w:tcPr>
            <w:tcW w:w="606" w:type="pct"/>
            <w:tcBorders>
              <w:top w:val="single" w:sz="4" w:space="0" w:color="000000"/>
              <w:left w:val="single" w:sz="4" w:space="0" w:color="000000"/>
            </w:tcBorders>
            <w:shd w:val="clear" w:color="auto" w:fill="auto"/>
            <w:vAlign w:val="center"/>
          </w:tcPr>
          <w:p w14:paraId="150DCAF7"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87</w:t>
            </w:r>
          </w:p>
        </w:tc>
        <w:tc>
          <w:tcPr>
            <w:tcW w:w="596" w:type="pct"/>
            <w:tcBorders>
              <w:top w:val="single" w:sz="4" w:space="0" w:color="000000"/>
              <w:left w:val="single" w:sz="4" w:space="0" w:color="000000"/>
              <w:right w:val="single" w:sz="4" w:space="0" w:color="000000"/>
            </w:tcBorders>
            <w:shd w:val="clear" w:color="auto" w:fill="auto"/>
            <w:vAlign w:val="center"/>
          </w:tcPr>
          <w:p w14:paraId="4D302485"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-1.6</w:t>
            </w:r>
          </w:p>
        </w:tc>
      </w:tr>
      <w:tr w:rsidR="00623C6F" w:rsidRPr="00603B1C" w14:paraId="1BC7E23B" w14:textId="77777777" w:rsidTr="005F7730">
        <w:tc>
          <w:tcPr>
            <w:tcW w:w="1561" w:type="pct"/>
            <w:tcBorders>
              <w:top w:val="single" w:sz="4" w:space="0" w:color="000000"/>
              <w:left w:val="single" w:sz="4" w:space="0" w:color="000000"/>
            </w:tcBorders>
            <w:shd w:val="clear" w:color="auto" w:fill="auto"/>
            <w:vAlign w:val="center"/>
          </w:tcPr>
          <w:p w14:paraId="5647EDFA" w14:textId="77777777" w:rsidR="00623C6F" w:rsidRPr="00D92119" w:rsidRDefault="005F7730" w:rsidP="005F7730">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D92119">
              <w:rPr>
                <w:rFonts w:ascii="Arial" w:hAnsi="Arial" w:cs="Arial"/>
                <w:b/>
                <w:color w:val="010000"/>
                <w:sz w:val="20"/>
              </w:rPr>
              <w:t>Consumption (ton)</w:t>
            </w:r>
          </w:p>
        </w:tc>
        <w:tc>
          <w:tcPr>
            <w:tcW w:w="741" w:type="pct"/>
            <w:tcBorders>
              <w:top w:val="single" w:sz="4" w:space="0" w:color="000000"/>
              <w:left w:val="single" w:sz="4" w:space="0" w:color="000000"/>
            </w:tcBorders>
            <w:shd w:val="clear" w:color="auto" w:fill="auto"/>
            <w:vAlign w:val="center"/>
          </w:tcPr>
          <w:p w14:paraId="20817041"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103,943</w:t>
            </w:r>
          </w:p>
        </w:tc>
        <w:tc>
          <w:tcPr>
            <w:tcW w:w="745" w:type="pct"/>
            <w:tcBorders>
              <w:top w:val="single" w:sz="4" w:space="0" w:color="000000"/>
              <w:left w:val="single" w:sz="4" w:space="0" w:color="000000"/>
            </w:tcBorders>
            <w:shd w:val="clear" w:color="auto" w:fill="auto"/>
            <w:vAlign w:val="center"/>
          </w:tcPr>
          <w:p w14:paraId="20BC3EB0"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120,000</w:t>
            </w:r>
          </w:p>
        </w:tc>
        <w:tc>
          <w:tcPr>
            <w:tcW w:w="750" w:type="pct"/>
            <w:tcBorders>
              <w:top w:val="single" w:sz="4" w:space="0" w:color="000000"/>
              <w:left w:val="single" w:sz="4" w:space="0" w:color="000000"/>
            </w:tcBorders>
            <w:shd w:val="clear" w:color="auto" w:fill="auto"/>
            <w:vAlign w:val="center"/>
          </w:tcPr>
          <w:p w14:paraId="70BDADF1"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142,019</w:t>
            </w:r>
          </w:p>
        </w:tc>
        <w:tc>
          <w:tcPr>
            <w:tcW w:w="606" w:type="pct"/>
            <w:tcBorders>
              <w:top w:val="single" w:sz="4" w:space="0" w:color="000000"/>
              <w:left w:val="single" w:sz="4" w:space="0" w:color="000000"/>
            </w:tcBorders>
            <w:shd w:val="clear" w:color="auto" w:fill="auto"/>
            <w:vAlign w:val="center"/>
          </w:tcPr>
          <w:p w14:paraId="37C6E5BF"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118</w:t>
            </w:r>
          </w:p>
        </w:tc>
        <w:tc>
          <w:tcPr>
            <w:tcW w:w="596" w:type="pct"/>
            <w:tcBorders>
              <w:top w:val="single" w:sz="4" w:space="0" w:color="000000"/>
              <w:left w:val="single" w:sz="4" w:space="0" w:color="000000"/>
              <w:right w:val="single" w:sz="4" w:space="0" w:color="000000"/>
            </w:tcBorders>
            <w:shd w:val="clear" w:color="auto" w:fill="auto"/>
            <w:vAlign w:val="center"/>
          </w:tcPr>
          <w:p w14:paraId="64689924" w14:textId="77777777" w:rsidR="00623C6F" w:rsidRPr="00D92119"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b/>
                <w:color w:val="010000"/>
                <w:sz w:val="20"/>
                <w:szCs w:val="20"/>
              </w:rPr>
            </w:pPr>
            <w:r w:rsidRPr="00D92119">
              <w:rPr>
                <w:rFonts w:ascii="Arial" w:hAnsi="Arial" w:cs="Arial"/>
                <w:b/>
                <w:color w:val="010000"/>
                <w:sz w:val="20"/>
              </w:rPr>
              <w:t>+37</w:t>
            </w:r>
          </w:p>
        </w:tc>
      </w:tr>
      <w:tr w:rsidR="00623C6F" w:rsidRPr="00603B1C" w14:paraId="64EC18FE" w14:textId="77777777" w:rsidTr="005F7730">
        <w:tc>
          <w:tcPr>
            <w:tcW w:w="1561" w:type="pct"/>
            <w:tcBorders>
              <w:top w:val="single" w:sz="4" w:space="0" w:color="000000"/>
              <w:left w:val="single" w:sz="4" w:space="0" w:color="000000"/>
            </w:tcBorders>
            <w:shd w:val="clear" w:color="auto" w:fill="auto"/>
            <w:vAlign w:val="center"/>
          </w:tcPr>
          <w:p w14:paraId="5E3EB757"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Key products</w:t>
            </w:r>
          </w:p>
        </w:tc>
        <w:tc>
          <w:tcPr>
            <w:tcW w:w="741" w:type="pct"/>
            <w:tcBorders>
              <w:top w:val="single" w:sz="4" w:space="0" w:color="000000"/>
              <w:left w:val="single" w:sz="4" w:space="0" w:color="000000"/>
            </w:tcBorders>
            <w:shd w:val="clear" w:color="auto" w:fill="auto"/>
            <w:vAlign w:val="center"/>
          </w:tcPr>
          <w:p w14:paraId="270C7081"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24,028</w:t>
            </w:r>
          </w:p>
        </w:tc>
        <w:tc>
          <w:tcPr>
            <w:tcW w:w="745" w:type="pct"/>
            <w:tcBorders>
              <w:top w:val="single" w:sz="4" w:space="0" w:color="000000"/>
              <w:left w:val="single" w:sz="4" w:space="0" w:color="000000"/>
            </w:tcBorders>
            <w:shd w:val="clear" w:color="auto" w:fill="auto"/>
            <w:vAlign w:val="center"/>
          </w:tcPr>
          <w:p w14:paraId="2344CDEC"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30,000</w:t>
            </w:r>
          </w:p>
        </w:tc>
        <w:tc>
          <w:tcPr>
            <w:tcW w:w="750" w:type="pct"/>
            <w:tcBorders>
              <w:top w:val="single" w:sz="4" w:space="0" w:color="000000"/>
              <w:left w:val="single" w:sz="4" w:space="0" w:color="000000"/>
            </w:tcBorders>
            <w:shd w:val="clear" w:color="auto" w:fill="auto"/>
            <w:vAlign w:val="center"/>
          </w:tcPr>
          <w:p w14:paraId="219C8E09"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63,901</w:t>
            </w:r>
          </w:p>
        </w:tc>
        <w:tc>
          <w:tcPr>
            <w:tcW w:w="606" w:type="pct"/>
            <w:tcBorders>
              <w:top w:val="single" w:sz="4" w:space="0" w:color="000000"/>
              <w:left w:val="single" w:sz="4" w:space="0" w:color="000000"/>
            </w:tcBorders>
            <w:shd w:val="clear" w:color="auto" w:fill="auto"/>
            <w:vAlign w:val="center"/>
          </w:tcPr>
          <w:p w14:paraId="0E01A4B2"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bookmarkStart w:id="0" w:name="_GoBack"/>
            <w:bookmarkEnd w:id="0"/>
            <w:r w:rsidRPr="00603B1C">
              <w:rPr>
                <w:rFonts w:ascii="Arial" w:hAnsi="Arial" w:cs="Arial"/>
                <w:color w:val="010000"/>
                <w:sz w:val="20"/>
              </w:rPr>
              <w:t>213</w:t>
            </w:r>
          </w:p>
        </w:tc>
        <w:tc>
          <w:tcPr>
            <w:tcW w:w="596" w:type="pct"/>
            <w:tcBorders>
              <w:top w:val="single" w:sz="4" w:space="0" w:color="000000"/>
              <w:left w:val="single" w:sz="4" w:space="0" w:color="000000"/>
              <w:right w:val="single" w:sz="4" w:space="0" w:color="000000"/>
            </w:tcBorders>
            <w:shd w:val="clear" w:color="auto" w:fill="auto"/>
            <w:vAlign w:val="center"/>
          </w:tcPr>
          <w:p w14:paraId="701807B2"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+166</w:t>
            </w:r>
          </w:p>
        </w:tc>
      </w:tr>
      <w:tr w:rsidR="00623C6F" w:rsidRPr="00603B1C" w14:paraId="3168B874" w14:textId="77777777" w:rsidTr="005F7730">
        <w:tc>
          <w:tcPr>
            <w:tcW w:w="1561" w:type="pct"/>
            <w:tcBorders>
              <w:top w:val="single" w:sz="4" w:space="0" w:color="000000"/>
              <w:left w:val="single" w:sz="4" w:space="0" w:color="000000"/>
              <w:bottom w:val="single" w:sz="4" w:space="0" w:color="000000"/>
            </w:tcBorders>
            <w:shd w:val="clear" w:color="auto" w:fill="auto"/>
            <w:vAlign w:val="center"/>
          </w:tcPr>
          <w:p w14:paraId="5087C6AD"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Processing</w:t>
            </w:r>
          </w:p>
        </w:tc>
        <w:tc>
          <w:tcPr>
            <w:tcW w:w="741" w:type="pct"/>
            <w:tcBorders>
              <w:top w:val="single" w:sz="4" w:space="0" w:color="000000"/>
              <w:left w:val="single" w:sz="4" w:space="0" w:color="000000"/>
              <w:bottom w:val="single" w:sz="4" w:space="0" w:color="000000"/>
            </w:tcBorders>
            <w:shd w:val="clear" w:color="auto" w:fill="auto"/>
            <w:vAlign w:val="center"/>
          </w:tcPr>
          <w:p w14:paraId="03DDC51A"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79,915</w:t>
            </w:r>
          </w:p>
        </w:tc>
        <w:tc>
          <w:tcPr>
            <w:tcW w:w="745" w:type="pct"/>
            <w:tcBorders>
              <w:top w:val="single" w:sz="4" w:space="0" w:color="000000"/>
              <w:left w:val="single" w:sz="4" w:space="0" w:color="000000"/>
              <w:bottom w:val="single" w:sz="4" w:space="0" w:color="000000"/>
            </w:tcBorders>
            <w:shd w:val="clear" w:color="auto" w:fill="auto"/>
            <w:vAlign w:val="center"/>
          </w:tcPr>
          <w:p w14:paraId="6DDF1949"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90,000</w:t>
            </w:r>
          </w:p>
        </w:tc>
        <w:tc>
          <w:tcPr>
            <w:tcW w:w="750" w:type="pct"/>
            <w:tcBorders>
              <w:top w:val="single" w:sz="4" w:space="0" w:color="000000"/>
              <w:left w:val="single" w:sz="4" w:space="0" w:color="000000"/>
              <w:bottom w:val="single" w:sz="4" w:space="0" w:color="000000"/>
            </w:tcBorders>
            <w:shd w:val="clear" w:color="auto" w:fill="auto"/>
            <w:vAlign w:val="center"/>
          </w:tcPr>
          <w:p w14:paraId="22D9F11E"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78,118</w:t>
            </w:r>
          </w:p>
        </w:tc>
        <w:tc>
          <w:tcPr>
            <w:tcW w:w="606" w:type="pct"/>
            <w:tcBorders>
              <w:top w:val="single" w:sz="4" w:space="0" w:color="000000"/>
              <w:left w:val="single" w:sz="4" w:space="0" w:color="000000"/>
              <w:bottom w:val="single" w:sz="4" w:space="0" w:color="000000"/>
            </w:tcBorders>
            <w:shd w:val="clear" w:color="auto" w:fill="auto"/>
            <w:vAlign w:val="center"/>
          </w:tcPr>
          <w:p w14:paraId="1E03DF72"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87</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FE033" w14:textId="77777777" w:rsidR="00623C6F" w:rsidRPr="00603B1C" w:rsidRDefault="005F7730" w:rsidP="00D92119">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-2</w:t>
            </w:r>
          </w:p>
        </w:tc>
      </w:tr>
    </w:tbl>
    <w:p w14:paraId="19790F43" w14:textId="77777777" w:rsidR="00623C6F" w:rsidRPr="00603B1C" w:rsidRDefault="005F7730" w:rsidP="00D92119">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2.</w:t>
      </w:r>
      <w:proofErr w:type="gramEnd"/>
      <w:r w:rsidRPr="00603B1C">
        <w:rPr>
          <w:rFonts w:ascii="Arial" w:hAnsi="Arial" w:cs="Arial"/>
          <w:color w:val="010000"/>
          <w:sz w:val="20"/>
        </w:rPr>
        <w:t xml:space="preserve"> Approve production and business plan 2024 (attached proposal)</w:t>
      </w:r>
    </w:p>
    <w:p w14:paraId="544B3E01"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unanimously approved the Company's business plan for 2024:</w:t>
      </w:r>
    </w:p>
    <w:p w14:paraId="65967CD6" w14:textId="77777777" w:rsidR="00623C6F" w:rsidRPr="00603B1C" w:rsidRDefault="005F7730" w:rsidP="00D92119">
      <w:pPr>
        <w:numPr>
          <w:ilvl w:val="0"/>
          <w:numId w:val="1"/>
        </w:numPr>
        <w:pBdr>
          <w:top w:val="nil"/>
          <w:left w:val="nil"/>
          <w:bottom w:val="nil"/>
          <w:right w:val="nil"/>
          <w:between w:val="nil"/>
        </w:pBdr>
        <w:tabs>
          <w:tab w:val="left" w:pos="450"/>
          <w:tab w:val="left" w:pos="1645"/>
        </w:tabs>
        <w:spacing w:after="120" w:line="360" w:lineRule="auto"/>
        <w:jc w:val="both"/>
        <w:rPr>
          <w:rFonts w:ascii="Arial" w:hAnsi="Arial" w:cs="Arial"/>
          <w:color w:val="010000"/>
          <w:sz w:val="20"/>
          <w:szCs w:val="20"/>
        </w:rPr>
      </w:pPr>
      <w:r w:rsidRPr="00603B1C">
        <w:rPr>
          <w:rFonts w:ascii="Arial" w:hAnsi="Arial" w:cs="Arial"/>
          <w:color w:val="010000"/>
          <w:sz w:val="20"/>
        </w:rPr>
        <w:t>Production/Processing/Business: 140,000 tons;</w:t>
      </w:r>
    </w:p>
    <w:p w14:paraId="593FFABA" w14:textId="77777777" w:rsidR="00623C6F" w:rsidRPr="00603B1C" w:rsidRDefault="005F7730" w:rsidP="00D92119">
      <w:pPr>
        <w:numPr>
          <w:ilvl w:val="0"/>
          <w:numId w:val="1"/>
        </w:numPr>
        <w:pBdr>
          <w:top w:val="nil"/>
          <w:left w:val="nil"/>
          <w:bottom w:val="nil"/>
          <w:right w:val="nil"/>
          <w:between w:val="nil"/>
        </w:pBdr>
        <w:tabs>
          <w:tab w:val="left" w:pos="450"/>
          <w:tab w:val="left" w:pos="1645"/>
        </w:tabs>
        <w:spacing w:after="120" w:line="360" w:lineRule="auto"/>
        <w:jc w:val="both"/>
        <w:rPr>
          <w:rFonts w:ascii="Arial" w:hAnsi="Arial" w:cs="Arial"/>
          <w:color w:val="010000"/>
          <w:sz w:val="20"/>
          <w:szCs w:val="20"/>
        </w:rPr>
      </w:pPr>
      <w:r w:rsidRPr="00603B1C">
        <w:rPr>
          <w:rFonts w:ascii="Arial" w:hAnsi="Arial" w:cs="Arial"/>
          <w:color w:val="010000"/>
          <w:sz w:val="20"/>
        </w:rPr>
        <w:t>Profit: VND 01 billion;</w:t>
      </w:r>
    </w:p>
    <w:p w14:paraId="06829B5F"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3.</w:t>
      </w:r>
      <w:proofErr w:type="gramEnd"/>
      <w:r w:rsidRPr="00603B1C">
        <w:rPr>
          <w:rFonts w:ascii="Arial" w:hAnsi="Arial" w:cs="Arial"/>
          <w:color w:val="010000"/>
          <w:sz w:val="20"/>
        </w:rPr>
        <w:t xml:space="preserve"> Approve the report on activities of the Board of Directors in 2023 and plan for 2024 (report attached)</w:t>
      </w:r>
    </w:p>
    <w:p w14:paraId="5B8F5145" w14:textId="7496BC21"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unanimously approved </w:t>
      </w:r>
      <w:r w:rsidR="00145006" w:rsidRPr="00603B1C">
        <w:rPr>
          <w:rFonts w:ascii="Arial" w:hAnsi="Arial" w:cs="Arial"/>
          <w:color w:val="010000"/>
          <w:sz w:val="20"/>
        </w:rPr>
        <w:t xml:space="preserve">the Report </w:t>
      </w:r>
      <w:r w:rsidRPr="00603B1C">
        <w:rPr>
          <w:rFonts w:ascii="Arial" w:hAnsi="Arial" w:cs="Arial"/>
          <w:color w:val="010000"/>
          <w:sz w:val="20"/>
        </w:rPr>
        <w:t>on activities of the Board of Directors in 2023 and plan for 2024.</w:t>
      </w:r>
    </w:p>
    <w:p w14:paraId="242DA207" w14:textId="55BC363F"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4.</w:t>
      </w:r>
      <w:proofErr w:type="gramEnd"/>
      <w:r w:rsidRPr="00603B1C">
        <w:rPr>
          <w:rFonts w:ascii="Arial" w:hAnsi="Arial" w:cs="Arial"/>
          <w:color w:val="010000"/>
          <w:sz w:val="20"/>
        </w:rPr>
        <w:t xml:space="preserve"> Approve the report on activities of the Supervisory Board in 2023</w:t>
      </w:r>
    </w:p>
    <w:p w14:paraId="05ADB7D8"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approved the report on activities of the Supervisory Board in 2023.</w:t>
      </w:r>
    </w:p>
    <w:p w14:paraId="74729004" w14:textId="6A45B002"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5.</w:t>
      </w:r>
      <w:proofErr w:type="gramEnd"/>
      <w:r w:rsidRPr="00603B1C">
        <w:rPr>
          <w:rFonts w:ascii="Arial" w:hAnsi="Arial" w:cs="Arial"/>
          <w:color w:val="010000"/>
          <w:sz w:val="20"/>
        </w:rPr>
        <w:t xml:space="preserve"> Approve the </w:t>
      </w:r>
      <w:r w:rsidR="00145006" w:rsidRPr="00603B1C">
        <w:rPr>
          <w:rFonts w:ascii="Arial" w:hAnsi="Arial" w:cs="Arial"/>
          <w:color w:val="010000"/>
          <w:sz w:val="20"/>
        </w:rPr>
        <w:t>Audited Financial Statements</w:t>
      </w:r>
      <w:r w:rsidRPr="00603B1C">
        <w:rPr>
          <w:rFonts w:ascii="Arial" w:hAnsi="Arial" w:cs="Arial"/>
          <w:color w:val="010000"/>
          <w:sz w:val="20"/>
        </w:rPr>
        <w:t xml:space="preserve"> 2023 </w:t>
      </w:r>
    </w:p>
    <w:p w14:paraId="6A0BCC48" w14:textId="33695098"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approved the </w:t>
      </w:r>
      <w:r w:rsidR="00145006" w:rsidRPr="00603B1C">
        <w:rPr>
          <w:rFonts w:ascii="Arial" w:hAnsi="Arial" w:cs="Arial"/>
          <w:color w:val="010000"/>
          <w:sz w:val="20"/>
        </w:rPr>
        <w:t>Audited Financial Statements</w:t>
      </w:r>
      <w:r w:rsidRPr="00603B1C">
        <w:rPr>
          <w:rFonts w:ascii="Arial" w:hAnsi="Arial" w:cs="Arial"/>
          <w:color w:val="010000"/>
          <w:sz w:val="20"/>
        </w:rPr>
        <w:t xml:space="preserve"> 2023.</w:t>
      </w:r>
    </w:p>
    <w:p w14:paraId="61A8D679" w14:textId="1F823B34"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6.</w:t>
      </w:r>
      <w:proofErr w:type="gramEnd"/>
      <w:r w:rsidRPr="00603B1C">
        <w:rPr>
          <w:rFonts w:ascii="Arial" w:hAnsi="Arial" w:cs="Arial"/>
          <w:color w:val="010000"/>
          <w:sz w:val="20"/>
        </w:rPr>
        <w:t xml:space="preserve"> Approve the selection of </w:t>
      </w:r>
      <w:proofErr w:type="gramStart"/>
      <w:r w:rsidR="00145006" w:rsidRPr="00603B1C">
        <w:rPr>
          <w:rFonts w:ascii="Arial" w:hAnsi="Arial" w:cs="Arial"/>
          <w:color w:val="010000"/>
          <w:sz w:val="20"/>
        </w:rPr>
        <w:t>audit company</w:t>
      </w:r>
      <w:proofErr w:type="gramEnd"/>
      <w:r w:rsidRPr="00603B1C">
        <w:rPr>
          <w:rFonts w:ascii="Arial" w:hAnsi="Arial" w:cs="Arial"/>
          <w:color w:val="010000"/>
          <w:sz w:val="20"/>
        </w:rPr>
        <w:t xml:space="preserve"> for he </w:t>
      </w:r>
      <w:r w:rsidR="00145006" w:rsidRPr="00603B1C">
        <w:rPr>
          <w:rFonts w:ascii="Arial" w:hAnsi="Arial" w:cs="Arial"/>
          <w:color w:val="010000"/>
          <w:sz w:val="20"/>
        </w:rPr>
        <w:t>Audited Financial Statements</w:t>
      </w:r>
      <w:r w:rsidRPr="00603B1C">
        <w:rPr>
          <w:rFonts w:ascii="Arial" w:hAnsi="Arial" w:cs="Arial"/>
          <w:color w:val="010000"/>
          <w:sz w:val="20"/>
        </w:rPr>
        <w:t xml:space="preserve"> 2024 </w:t>
      </w:r>
    </w:p>
    <w:p w14:paraId="2538C483" w14:textId="1B6635B1"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approved the authorization for the Board of Directors to select an Audit company to audit the Company's </w:t>
      </w:r>
      <w:r w:rsidR="00145006" w:rsidRPr="00603B1C">
        <w:rPr>
          <w:rFonts w:ascii="Arial" w:hAnsi="Arial" w:cs="Arial"/>
          <w:color w:val="010000"/>
          <w:sz w:val="20"/>
        </w:rPr>
        <w:t>Financial Statements</w:t>
      </w:r>
      <w:r w:rsidRPr="00603B1C">
        <w:rPr>
          <w:rFonts w:ascii="Arial" w:hAnsi="Arial" w:cs="Arial"/>
          <w:color w:val="010000"/>
          <w:sz w:val="20"/>
        </w:rPr>
        <w:t xml:space="preserve"> 2024.</w:t>
      </w:r>
    </w:p>
    <w:p w14:paraId="0DD7A64A" w14:textId="3B268258"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lastRenderedPageBreak/>
        <w:t>‎‎Article 7.</w:t>
      </w:r>
      <w:proofErr w:type="gramEnd"/>
      <w:r w:rsidRPr="00603B1C">
        <w:rPr>
          <w:rFonts w:ascii="Arial" w:hAnsi="Arial" w:cs="Arial"/>
          <w:color w:val="010000"/>
          <w:sz w:val="20"/>
        </w:rPr>
        <w:t xml:space="preserve"> Approve the Profit distribution in 2023 and </w:t>
      </w:r>
      <w:r w:rsidR="00145006" w:rsidRPr="00603B1C">
        <w:rPr>
          <w:rFonts w:ascii="Arial" w:hAnsi="Arial" w:cs="Arial"/>
          <w:color w:val="010000"/>
          <w:sz w:val="20"/>
        </w:rPr>
        <w:t xml:space="preserve">the </w:t>
      </w:r>
      <w:r w:rsidRPr="00603B1C">
        <w:rPr>
          <w:rFonts w:ascii="Arial" w:hAnsi="Arial" w:cs="Arial"/>
          <w:color w:val="010000"/>
          <w:sz w:val="20"/>
        </w:rPr>
        <w:t>Profit distribution plan for 2024</w:t>
      </w:r>
    </w:p>
    <w:p w14:paraId="2513306A"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approved the Profit distribution in 2023 and Profit distribution plan for 2024.</w:t>
      </w:r>
    </w:p>
    <w:p w14:paraId="6C350994" w14:textId="77777777" w:rsidR="00623C6F" w:rsidRPr="00603B1C" w:rsidRDefault="005F7730" w:rsidP="00D9211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03B1C">
        <w:rPr>
          <w:rFonts w:ascii="Arial" w:hAnsi="Arial" w:cs="Arial"/>
          <w:color w:val="010000"/>
          <w:sz w:val="20"/>
        </w:rPr>
        <w:t>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5"/>
        <w:gridCol w:w="4343"/>
        <w:gridCol w:w="2110"/>
        <w:gridCol w:w="1739"/>
      </w:tblGrid>
      <w:tr w:rsidR="00623C6F" w:rsidRPr="00603B1C" w14:paraId="21E4C6AF" w14:textId="77777777" w:rsidTr="005F7730">
        <w:tc>
          <w:tcPr>
            <w:tcW w:w="473" w:type="pct"/>
            <w:shd w:val="clear" w:color="auto" w:fill="auto"/>
            <w:tcMar>
              <w:top w:w="0" w:type="dxa"/>
              <w:bottom w:w="0" w:type="dxa"/>
            </w:tcMar>
            <w:vAlign w:val="center"/>
          </w:tcPr>
          <w:p w14:paraId="49BD6003"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No.</w:t>
            </w:r>
          </w:p>
        </w:tc>
        <w:tc>
          <w:tcPr>
            <w:tcW w:w="2400" w:type="pct"/>
            <w:shd w:val="clear" w:color="auto" w:fill="auto"/>
            <w:tcMar>
              <w:top w:w="0" w:type="dxa"/>
              <w:bottom w:w="0" w:type="dxa"/>
            </w:tcMar>
            <w:vAlign w:val="center"/>
          </w:tcPr>
          <w:p w14:paraId="011926A4"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Content</w:t>
            </w:r>
          </w:p>
        </w:tc>
        <w:tc>
          <w:tcPr>
            <w:tcW w:w="1166" w:type="pct"/>
            <w:shd w:val="clear" w:color="auto" w:fill="auto"/>
            <w:tcMar>
              <w:top w:w="0" w:type="dxa"/>
              <w:bottom w:w="0" w:type="dxa"/>
            </w:tcMar>
            <w:vAlign w:val="center"/>
          </w:tcPr>
          <w:p w14:paraId="3CEC02FF"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Amount (VND)</w:t>
            </w:r>
          </w:p>
        </w:tc>
        <w:tc>
          <w:tcPr>
            <w:tcW w:w="961" w:type="pct"/>
            <w:shd w:val="clear" w:color="auto" w:fill="auto"/>
            <w:tcMar>
              <w:top w:w="0" w:type="dxa"/>
              <w:bottom w:w="0" w:type="dxa"/>
            </w:tcMar>
            <w:vAlign w:val="center"/>
          </w:tcPr>
          <w:p w14:paraId="453BCAED"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Note</w:t>
            </w:r>
          </w:p>
        </w:tc>
      </w:tr>
      <w:tr w:rsidR="00623C6F" w:rsidRPr="00603B1C" w14:paraId="142F2B84" w14:textId="77777777" w:rsidTr="005F7730">
        <w:tc>
          <w:tcPr>
            <w:tcW w:w="473" w:type="pct"/>
            <w:shd w:val="clear" w:color="auto" w:fill="auto"/>
            <w:tcMar>
              <w:top w:w="0" w:type="dxa"/>
              <w:bottom w:w="0" w:type="dxa"/>
            </w:tcMar>
            <w:vAlign w:val="center"/>
          </w:tcPr>
          <w:p w14:paraId="60A6E038"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1</w:t>
            </w:r>
          </w:p>
        </w:tc>
        <w:tc>
          <w:tcPr>
            <w:tcW w:w="2400" w:type="pct"/>
            <w:shd w:val="clear" w:color="auto" w:fill="auto"/>
            <w:tcMar>
              <w:top w:w="0" w:type="dxa"/>
              <w:bottom w:w="0" w:type="dxa"/>
            </w:tcMar>
            <w:vAlign w:val="center"/>
          </w:tcPr>
          <w:p w14:paraId="7CF4AA78"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Profit before tax</w:t>
            </w:r>
          </w:p>
        </w:tc>
        <w:tc>
          <w:tcPr>
            <w:tcW w:w="1166" w:type="pct"/>
            <w:shd w:val="clear" w:color="auto" w:fill="auto"/>
            <w:tcMar>
              <w:top w:w="0" w:type="dxa"/>
              <w:bottom w:w="0" w:type="dxa"/>
            </w:tcMar>
            <w:vAlign w:val="center"/>
          </w:tcPr>
          <w:p w14:paraId="513CAD89"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4,625,943,091</w:t>
            </w:r>
          </w:p>
        </w:tc>
        <w:tc>
          <w:tcPr>
            <w:tcW w:w="961" w:type="pct"/>
            <w:shd w:val="clear" w:color="auto" w:fill="auto"/>
            <w:tcMar>
              <w:top w:w="0" w:type="dxa"/>
              <w:bottom w:w="0" w:type="dxa"/>
            </w:tcMar>
            <w:vAlign w:val="center"/>
          </w:tcPr>
          <w:p w14:paraId="1FDA48FF"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2A5D9F23" w14:textId="77777777" w:rsidTr="005F7730">
        <w:tc>
          <w:tcPr>
            <w:tcW w:w="473" w:type="pct"/>
            <w:shd w:val="clear" w:color="auto" w:fill="auto"/>
            <w:tcMar>
              <w:top w:w="0" w:type="dxa"/>
              <w:bottom w:w="0" w:type="dxa"/>
            </w:tcMar>
            <w:vAlign w:val="center"/>
          </w:tcPr>
          <w:p w14:paraId="70A5285D"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2</w:t>
            </w:r>
          </w:p>
        </w:tc>
        <w:tc>
          <w:tcPr>
            <w:tcW w:w="2400" w:type="pct"/>
            <w:shd w:val="clear" w:color="auto" w:fill="auto"/>
            <w:tcMar>
              <w:top w:w="0" w:type="dxa"/>
              <w:bottom w:w="0" w:type="dxa"/>
            </w:tcMar>
            <w:vAlign w:val="center"/>
          </w:tcPr>
          <w:p w14:paraId="0B0A6795"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Current corporate income tax</w:t>
            </w:r>
          </w:p>
        </w:tc>
        <w:tc>
          <w:tcPr>
            <w:tcW w:w="1166" w:type="pct"/>
            <w:shd w:val="clear" w:color="auto" w:fill="auto"/>
            <w:tcMar>
              <w:top w:w="0" w:type="dxa"/>
              <w:bottom w:w="0" w:type="dxa"/>
            </w:tcMar>
            <w:vAlign w:val="center"/>
          </w:tcPr>
          <w:p w14:paraId="293472E8"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847,622,313</w:t>
            </w:r>
          </w:p>
        </w:tc>
        <w:tc>
          <w:tcPr>
            <w:tcW w:w="961" w:type="pct"/>
            <w:shd w:val="clear" w:color="auto" w:fill="auto"/>
            <w:tcMar>
              <w:top w:w="0" w:type="dxa"/>
              <w:bottom w:w="0" w:type="dxa"/>
            </w:tcMar>
            <w:vAlign w:val="center"/>
          </w:tcPr>
          <w:p w14:paraId="5C28F576"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375A1CD0" w14:textId="77777777" w:rsidTr="005F7730">
        <w:tc>
          <w:tcPr>
            <w:tcW w:w="473" w:type="pct"/>
            <w:shd w:val="clear" w:color="auto" w:fill="auto"/>
            <w:tcMar>
              <w:top w:w="0" w:type="dxa"/>
              <w:bottom w:w="0" w:type="dxa"/>
            </w:tcMar>
            <w:vAlign w:val="center"/>
          </w:tcPr>
          <w:p w14:paraId="64AED170"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3</w:t>
            </w:r>
          </w:p>
        </w:tc>
        <w:tc>
          <w:tcPr>
            <w:tcW w:w="2400" w:type="pct"/>
            <w:shd w:val="clear" w:color="auto" w:fill="auto"/>
            <w:tcMar>
              <w:top w:w="0" w:type="dxa"/>
              <w:bottom w:w="0" w:type="dxa"/>
            </w:tcMar>
            <w:vAlign w:val="center"/>
          </w:tcPr>
          <w:p w14:paraId="21A599B8"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Profit after tax</w:t>
            </w:r>
          </w:p>
        </w:tc>
        <w:tc>
          <w:tcPr>
            <w:tcW w:w="1166" w:type="pct"/>
            <w:shd w:val="clear" w:color="auto" w:fill="auto"/>
            <w:tcMar>
              <w:top w:w="0" w:type="dxa"/>
              <w:bottom w:w="0" w:type="dxa"/>
            </w:tcMar>
            <w:vAlign w:val="center"/>
          </w:tcPr>
          <w:p w14:paraId="6906EE20"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3,778,320,778</w:t>
            </w:r>
          </w:p>
        </w:tc>
        <w:tc>
          <w:tcPr>
            <w:tcW w:w="961" w:type="pct"/>
            <w:shd w:val="clear" w:color="auto" w:fill="auto"/>
            <w:tcMar>
              <w:top w:w="0" w:type="dxa"/>
              <w:bottom w:w="0" w:type="dxa"/>
            </w:tcMar>
            <w:vAlign w:val="center"/>
          </w:tcPr>
          <w:p w14:paraId="49EA2A00"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788D04D5" w14:textId="77777777" w:rsidTr="005F7730">
        <w:tc>
          <w:tcPr>
            <w:tcW w:w="473" w:type="pct"/>
            <w:shd w:val="clear" w:color="auto" w:fill="auto"/>
            <w:tcMar>
              <w:top w:w="0" w:type="dxa"/>
              <w:bottom w:w="0" w:type="dxa"/>
            </w:tcMar>
            <w:vAlign w:val="center"/>
          </w:tcPr>
          <w:p w14:paraId="17103719"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4</w:t>
            </w:r>
          </w:p>
        </w:tc>
        <w:tc>
          <w:tcPr>
            <w:tcW w:w="2400" w:type="pct"/>
            <w:shd w:val="clear" w:color="auto" w:fill="auto"/>
            <w:tcMar>
              <w:top w:w="0" w:type="dxa"/>
              <w:bottom w:w="0" w:type="dxa"/>
            </w:tcMar>
            <w:vAlign w:val="center"/>
          </w:tcPr>
          <w:p w14:paraId="641E8442"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Appropriation for the reserve fund for supplementing charter capital</w:t>
            </w:r>
          </w:p>
        </w:tc>
        <w:tc>
          <w:tcPr>
            <w:tcW w:w="1166" w:type="pct"/>
            <w:shd w:val="clear" w:color="auto" w:fill="auto"/>
            <w:tcMar>
              <w:top w:w="0" w:type="dxa"/>
              <w:bottom w:w="0" w:type="dxa"/>
            </w:tcMar>
            <w:vAlign w:val="center"/>
          </w:tcPr>
          <w:p w14:paraId="01C4D170"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76A37A05"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4577E6A9" w14:textId="77777777" w:rsidTr="005F7730">
        <w:tc>
          <w:tcPr>
            <w:tcW w:w="473" w:type="pct"/>
            <w:shd w:val="clear" w:color="auto" w:fill="auto"/>
            <w:tcMar>
              <w:top w:w="0" w:type="dxa"/>
              <w:bottom w:w="0" w:type="dxa"/>
            </w:tcMar>
            <w:vAlign w:val="center"/>
          </w:tcPr>
          <w:p w14:paraId="54FF4940"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5</w:t>
            </w:r>
          </w:p>
        </w:tc>
        <w:tc>
          <w:tcPr>
            <w:tcW w:w="2400" w:type="pct"/>
            <w:shd w:val="clear" w:color="auto" w:fill="auto"/>
            <w:tcMar>
              <w:top w:w="0" w:type="dxa"/>
              <w:bottom w:w="0" w:type="dxa"/>
            </w:tcMar>
            <w:vAlign w:val="center"/>
          </w:tcPr>
          <w:p w14:paraId="60AA0F6A"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Appropriation for investment and development fund:</w:t>
            </w:r>
          </w:p>
        </w:tc>
        <w:tc>
          <w:tcPr>
            <w:tcW w:w="1166" w:type="pct"/>
            <w:shd w:val="clear" w:color="auto" w:fill="auto"/>
            <w:tcMar>
              <w:top w:w="0" w:type="dxa"/>
              <w:bottom w:w="0" w:type="dxa"/>
            </w:tcMar>
            <w:vAlign w:val="center"/>
          </w:tcPr>
          <w:p w14:paraId="771E3650"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5D168EFA"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6A9E9B76" w14:textId="77777777" w:rsidTr="005F7730">
        <w:tc>
          <w:tcPr>
            <w:tcW w:w="473" w:type="pct"/>
            <w:shd w:val="clear" w:color="auto" w:fill="auto"/>
            <w:tcMar>
              <w:top w:w="0" w:type="dxa"/>
              <w:bottom w:w="0" w:type="dxa"/>
            </w:tcMar>
            <w:vAlign w:val="center"/>
          </w:tcPr>
          <w:p w14:paraId="23D8B312"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6</w:t>
            </w:r>
          </w:p>
        </w:tc>
        <w:tc>
          <w:tcPr>
            <w:tcW w:w="2400" w:type="pct"/>
            <w:shd w:val="clear" w:color="auto" w:fill="auto"/>
            <w:tcMar>
              <w:top w:w="0" w:type="dxa"/>
              <w:bottom w:w="0" w:type="dxa"/>
            </w:tcMar>
            <w:vAlign w:val="center"/>
          </w:tcPr>
          <w:p w14:paraId="4B5A6C91"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Appropriation for bonus and welfare fund:</w:t>
            </w:r>
          </w:p>
        </w:tc>
        <w:tc>
          <w:tcPr>
            <w:tcW w:w="1166" w:type="pct"/>
            <w:shd w:val="clear" w:color="auto" w:fill="auto"/>
            <w:tcMar>
              <w:top w:w="0" w:type="dxa"/>
              <w:bottom w:w="0" w:type="dxa"/>
            </w:tcMar>
            <w:vAlign w:val="center"/>
          </w:tcPr>
          <w:p w14:paraId="6703C4E6"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16A59DAC"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6E1E3119" w14:textId="77777777" w:rsidTr="005F7730">
        <w:tc>
          <w:tcPr>
            <w:tcW w:w="473" w:type="pct"/>
            <w:shd w:val="clear" w:color="auto" w:fill="auto"/>
            <w:tcMar>
              <w:top w:w="0" w:type="dxa"/>
              <w:bottom w:w="0" w:type="dxa"/>
            </w:tcMar>
            <w:vAlign w:val="center"/>
          </w:tcPr>
          <w:p w14:paraId="61BEDEBF" w14:textId="77777777" w:rsidR="00623C6F" w:rsidRPr="00603B1C" w:rsidRDefault="00623C6F" w:rsidP="005F7730">
            <w:pPr>
              <w:tabs>
                <w:tab w:val="left" w:pos="450"/>
              </w:tabs>
              <w:spacing w:after="120" w:line="360" w:lineRule="auto"/>
              <w:jc w:val="center"/>
              <w:rPr>
                <w:rFonts w:ascii="Arial" w:eastAsia="Arial" w:hAnsi="Arial" w:cs="Arial"/>
                <w:color w:val="010000"/>
                <w:sz w:val="20"/>
                <w:szCs w:val="20"/>
              </w:rPr>
            </w:pPr>
          </w:p>
        </w:tc>
        <w:tc>
          <w:tcPr>
            <w:tcW w:w="2400" w:type="pct"/>
            <w:shd w:val="clear" w:color="auto" w:fill="auto"/>
            <w:tcMar>
              <w:top w:w="0" w:type="dxa"/>
              <w:bottom w:w="0" w:type="dxa"/>
            </w:tcMar>
            <w:vAlign w:val="center"/>
          </w:tcPr>
          <w:p w14:paraId="72744044"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a. Appropriation for bonus fund</w:t>
            </w:r>
          </w:p>
        </w:tc>
        <w:tc>
          <w:tcPr>
            <w:tcW w:w="1166" w:type="pct"/>
            <w:shd w:val="clear" w:color="auto" w:fill="auto"/>
            <w:tcMar>
              <w:top w:w="0" w:type="dxa"/>
              <w:bottom w:w="0" w:type="dxa"/>
            </w:tcMar>
            <w:vAlign w:val="center"/>
          </w:tcPr>
          <w:p w14:paraId="70D26CB5"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53A14D45"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06B0D837" w14:textId="77777777" w:rsidTr="005F7730">
        <w:tc>
          <w:tcPr>
            <w:tcW w:w="473" w:type="pct"/>
            <w:shd w:val="clear" w:color="auto" w:fill="auto"/>
            <w:tcMar>
              <w:top w:w="0" w:type="dxa"/>
              <w:bottom w:w="0" w:type="dxa"/>
            </w:tcMar>
            <w:vAlign w:val="center"/>
          </w:tcPr>
          <w:p w14:paraId="174E6E8A" w14:textId="77777777" w:rsidR="00623C6F" w:rsidRPr="00603B1C" w:rsidRDefault="00623C6F" w:rsidP="005F7730">
            <w:pPr>
              <w:tabs>
                <w:tab w:val="left" w:pos="450"/>
              </w:tabs>
              <w:spacing w:after="120" w:line="360" w:lineRule="auto"/>
              <w:jc w:val="center"/>
              <w:rPr>
                <w:rFonts w:ascii="Arial" w:eastAsia="Arial" w:hAnsi="Arial" w:cs="Arial"/>
                <w:color w:val="010000"/>
                <w:sz w:val="20"/>
                <w:szCs w:val="20"/>
              </w:rPr>
            </w:pPr>
          </w:p>
        </w:tc>
        <w:tc>
          <w:tcPr>
            <w:tcW w:w="2400" w:type="pct"/>
            <w:shd w:val="clear" w:color="auto" w:fill="auto"/>
            <w:tcMar>
              <w:top w:w="0" w:type="dxa"/>
              <w:bottom w:w="0" w:type="dxa"/>
            </w:tcMar>
            <w:vAlign w:val="center"/>
          </w:tcPr>
          <w:p w14:paraId="36F371AF"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b. Appropriation for welfare fund:</w:t>
            </w:r>
          </w:p>
        </w:tc>
        <w:tc>
          <w:tcPr>
            <w:tcW w:w="1166" w:type="pct"/>
            <w:shd w:val="clear" w:color="auto" w:fill="auto"/>
            <w:tcMar>
              <w:top w:w="0" w:type="dxa"/>
              <w:bottom w:w="0" w:type="dxa"/>
            </w:tcMar>
            <w:vAlign w:val="center"/>
          </w:tcPr>
          <w:p w14:paraId="345D2057"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73AE744E"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4684DF2E" w14:textId="77777777" w:rsidTr="005F7730">
        <w:tc>
          <w:tcPr>
            <w:tcW w:w="473" w:type="pct"/>
            <w:shd w:val="clear" w:color="auto" w:fill="auto"/>
            <w:tcMar>
              <w:top w:w="0" w:type="dxa"/>
              <w:bottom w:w="0" w:type="dxa"/>
            </w:tcMar>
            <w:vAlign w:val="center"/>
          </w:tcPr>
          <w:p w14:paraId="49635D78"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7</w:t>
            </w:r>
          </w:p>
        </w:tc>
        <w:tc>
          <w:tcPr>
            <w:tcW w:w="2400" w:type="pct"/>
            <w:shd w:val="clear" w:color="auto" w:fill="auto"/>
            <w:tcMar>
              <w:top w:w="0" w:type="dxa"/>
              <w:bottom w:w="0" w:type="dxa"/>
            </w:tcMar>
            <w:vAlign w:val="center"/>
          </w:tcPr>
          <w:p w14:paraId="040593DF"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Dividend payment</w:t>
            </w:r>
          </w:p>
        </w:tc>
        <w:tc>
          <w:tcPr>
            <w:tcW w:w="1166" w:type="pct"/>
            <w:shd w:val="clear" w:color="auto" w:fill="auto"/>
            <w:tcMar>
              <w:top w:w="0" w:type="dxa"/>
              <w:bottom w:w="0" w:type="dxa"/>
            </w:tcMar>
            <w:vAlign w:val="center"/>
          </w:tcPr>
          <w:p w14:paraId="65068C3B" w14:textId="77777777" w:rsidR="00623C6F" w:rsidRPr="00603B1C" w:rsidRDefault="00623C6F" w:rsidP="005F7730">
            <w:pPr>
              <w:tabs>
                <w:tab w:val="left" w:pos="450"/>
              </w:tabs>
              <w:spacing w:after="120" w:line="360" w:lineRule="auto"/>
              <w:jc w:val="right"/>
              <w:rPr>
                <w:rFonts w:ascii="Arial" w:eastAsia="Arial" w:hAnsi="Arial" w:cs="Arial"/>
                <w:color w:val="010000"/>
                <w:sz w:val="20"/>
                <w:szCs w:val="20"/>
              </w:rPr>
            </w:pPr>
          </w:p>
        </w:tc>
        <w:tc>
          <w:tcPr>
            <w:tcW w:w="961" w:type="pct"/>
            <w:shd w:val="clear" w:color="auto" w:fill="auto"/>
            <w:tcMar>
              <w:top w:w="0" w:type="dxa"/>
              <w:bottom w:w="0" w:type="dxa"/>
            </w:tcMar>
            <w:vAlign w:val="center"/>
          </w:tcPr>
          <w:p w14:paraId="473E9271"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3BF3E8A1" w14:textId="77777777" w:rsidTr="005F7730">
        <w:tc>
          <w:tcPr>
            <w:tcW w:w="473" w:type="pct"/>
            <w:shd w:val="clear" w:color="auto" w:fill="auto"/>
            <w:tcMar>
              <w:top w:w="0" w:type="dxa"/>
              <w:bottom w:w="0" w:type="dxa"/>
            </w:tcMar>
            <w:vAlign w:val="center"/>
          </w:tcPr>
          <w:p w14:paraId="7272B14A"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9</w:t>
            </w:r>
          </w:p>
        </w:tc>
        <w:tc>
          <w:tcPr>
            <w:tcW w:w="2400" w:type="pct"/>
            <w:shd w:val="clear" w:color="auto" w:fill="auto"/>
            <w:tcMar>
              <w:top w:w="0" w:type="dxa"/>
              <w:bottom w:w="0" w:type="dxa"/>
            </w:tcMar>
            <w:vAlign w:val="center"/>
          </w:tcPr>
          <w:p w14:paraId="35084BF6"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Remaining undistributed profit</w:t>
            </w:r>
          </w:p>
        </w:tc>
        <w:tc>
          <w:tcPr>
            <w:tcW w:w="1166" w:type="pct"/>
            <w:shd w:val="clear" w:color="auto" w:fill="auto"/>
            <w:tcMar>
              <w:top w:w="0" w:type="dxa"/>
              <w:bottom w:w="0" w:type="dxa"/>
            </w:tcMar>
            <w:vAlign w:val="center"/>
          </w:tcPr>
          <w:p w14:paraId="1A56DB62"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-169,943,621,279</w:t>
            </w:r>
          </w:p>
        </w:tc>
        <w:tc>
          <w:tcPr>
            <w:tcW w:w="961" w:type="pct"/>
            <w:shd w:val="clear" w:color="auto" w:fill="auto"/>
            <w:tcMar>
              <w:top w:w="0" w:type="dxa"/>
              <w:bottom w:w="0" w:type="dxa"/>
            </w:tcMar>
            <w:vAlign w:val="center"/>
          </w:tcPr>
          <w:p w14:paraId="112B0F3A"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78A0E848" w14:textId="77777777" w:rsidTr="005F7730">
        <w:tc>
          <w:tcPr>
            <w:tcW w:w="473" w:type="pct"/>
            <w:shd w:val="clear" w:color="auto" w:fill="auto"/>
            <w:tcMar>
              <w:top w:w="0" w:type="dxa"/>
              <w:bottom w:w="0" w:type="dxa"/>
            </w:tcMar>
            <w:vAlign w:val="center"/>
          </w:tcPr>
          <w:p w14:paraId="17304A0C" w14:textId="77777777" w:rsidR="00623C6F" w:rsidRPr="00603B1C" w:rsidRDefault="00623C6F" w:rsidP="005F7730">
            <w:pPr>
              <w:tabs>
                <w:tab w:val="left" w:pos="450"/>
              </w:tabs>
              <w:spacing w:after="120" w:line="360" w:lineRule="auto"/>
              <w:jc w:val="center"/>
              <w:rPr>
                <w:rFonts w:ascii="Arial" w:eastAsia="Arial" w:hAnsi="Arial" w:cs="Arial"/>
                <w:color w:val="010000"/>
                <w:sz w:val="20"/>
                <w:szCs w:val="20"/>
              </w:rPr>
            </w:pPr>
          </w:p>
        </w:tc>
        <w:tc>
          <w:tcPr>
            <w:tcW w:w="2400" w:type="pct"/>
            <w:shd w:val="clear" w:color="auto" w:fill="auto"/>
            <w:tcMar>
              <w:top w:w="0" w:type="dxa"/>
              <w:bottom w:w="0" w:type="dxa"/>
            </w:tcMar>
            <w:vAlign w:val="center"/>
          </w:tcPr>
          <w:p w14:paraId="329574DE"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a. Profit transferred from the previous year:</w:t>
            </w:r>
          </w:p>
        </w:tc>
        <w:tc>
          <w:tcPr>
            <w:tcW w:w="1166" w:type="pct"/>
            <w:shd w:val="clear" w:color="auto" w:fill="auto"/>
            <w:tcMar>
              <w:top w:w="0" w:type="dxa"/>
              <w:bottom w:w="0" w:type="dxa"/>
            </w:tcMar>
            <w:vAlign w:val="center"/>
          </w:tcPr>
          <w:p w14:paraId="2AB13F91"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-173,721,942,057</w:t>
            </w:r>
          </w:p>
        </w:tc>
        <w:tc>
          <w:tcPr>
            <w:tcW w:w="961" w:type="pct"/>
            <w:shd w:val="clear" w:color="auto" w:fill="auto"/>
            <w:tcMar>
              <w:top w:w="0" w:type="dxa"/>
              <w:bottom w:w="0" w:type="dxa"/>
            </w:tcMar>
            <w:vAlign w:val="center"/>
          </w:tcPr>
          <w:p w14:paraId="6CE06C20"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r w:rsidR="00623C6F" w:rsidRPr="00603B1C" w14:paraId="72A9DB99" w14:textId="77777777" w:rsidTr="005F7730">
        <w:tc>
          <w:tcPr>
            <w:tcW w:w="473" w:type="pct"/>
            <w:shd w:val="clear" w:color="auto" w:fill="auto"/>
            <w:tcMar>
              <w:top w:w="0" w:type="dxa"/>
              <w:bottom w:w="0" w:type="dxa"/>
            </w:tcMar>
            <w:vAlign w:val="center"/>
          </w:tcPr>
          <w:p w14:paraId="4FFBF848" w14:textId="77777777" w:rsidR="00623C6F" w:rsidRPr="00603B1C" w:rsidRDefault="00623C6F" w:rsidP="005F7730">
            <w:pPr>
              <w:tabs>
                <w:tab w:val="left" w:pos="450"/>
              </w:tabs>
              <w:spacing w:after="120" w:line="360" w:lineRule="auto"/>
              <w:jc w:val="center"/>
              <w:rPr>
                <w:rFonts w:ascii="Arial" w:eastAsia="Arial" w:hAnsi="Arial" w:cs="Arial"/>
                <w:color w:val="010000"/>
                <w:sz w:val="20"/>
                <w:szCs w:val="20"/>
              </w:rPr>
            </w:pPr>
          </w:p>
        </w:tc>
        <w:tc>
          <w:tcPr>
            <w:tcW w:w="2400" w:type="pct"/>
            <w:shd w:val="clear" w:color="auto" w:fill="auto"/>
            <w:tcMar>
              <w:top w:w="0" w:type="dxa"/>
              <w:bottom w:w="0" w:type="dxa"/>
            </w:tcMar>
            <w:vAlign w:val="center"/>
          </w:tcPr>
          <w:p w14:paraId="1070D22D" w14:textId="77777777" w:rsidR="00623C6F" w:rsidRPr="00603B1C" w:rsidRDefault="005F7730" w:rsidP="005F7730">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603B1C">
              <w:rPr>
                <w:rFonts w:ascii="Arial" w:hAnsi="Arial" w:cs="Arial"/>
                <w:color w:val="010000"/>
                <w:sz w:val="20"/>
              </w:rPr>
              <w:t>b. Profit in 2023</w:t>
            </w:r>
          </w:p>
        </w:tc>
        <w:tc>
          <w:tcPr>
            <w:tcW w:w="1166" w:type="pct"/>
            <w:shd w:val="clear" w:color="auto" w:fill="auto"/>
            <w:tcMar>
              <w:top w:w="0" w:type="dxa"/>
              <w:bottom w:w="0" w:type="dxa"/>
            </w:tcMar>
            <w:vAlign w:val="center"/>
          </w:tcPr>
          <w:p w14:paraId="533BD107" w14:textId="77777777" w:rsidR="00623C6F" w:rsidRPr="00603B1C" w:rsidRDefault="005F7730" w:rsidP="005F7730">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sidRPr="00603B1C">
              <w:rPr>
                <w:rFonts w:ascii="Arial" w:hAnsi="Arial" w:cs="Arial"/>
                <w:color w:val="010000"/>
                <w:sz w:val="20"/>
              </w:rPr>
              <w:t>3,778,320,778</w:t>
            </w:r>
          </w:p>
        </w:tc>
        <w:tc>
          <w:tcPr>
            <w:tcW w:w="961" w:type="pct"/>
            <w:shd w:val="clear" w:color="auto" w:fill="auto"/>
            <w:tcMar>
              <w:top w:w="0" w:type="dxa"/>
              <w:bottom w:w="0" w:type="dxa"/>
            </w:tcMar>
            <w:vAlign w:val="center"/>
          </w:tcPr>
          <w:p w14:paraId="38CEDABA" w14:textId="77777777" w:rsidR="00623C6F" w:rsidRPr="00603B1C" w:rsidRDefault="00623C6F" w:rsidP="005F7730">
            <w:pPr>
              <w:tabs>
                <w:tab w:val="left" w:pos="450"/>
              </w:tabs>
              <w:spacing w:after="120" w:line="360" w:lineRule="auto"/>
              <w:rPr>
                <w:rFonts w:ascii="Arial" w:eastAsia="Arial" w:hAnsi="Arial" w:cs="Arial"/>
                <w:color w:val="010000"/>
                <w:sz w:val="20"/>
                <w:szCs w:val="20"/>
              </w:rPr>
            </w:pPr>
          </w:p>
        </w:tc>
      </w:tr>
    </w:tbl>
    <w:p w14:paraId="795A681A" w14:textId="77777777" w:rsidR="00623C6F" w:rsidRPr="00603B1C" w:rsidRDefault="005F7730" w:rsidP="00D92119">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03B1C">
        <w:rPr>
          <w:rFonts w:ascii="Arial" w:hAnsi="Arial" w:cs="Arial"/>
          <w:color w:val="010000"/>
          <w:sz w:val="20"/>
        </w:rPr>
        <w:t>Profit distribution plan for 2024</w:t>
      </w:r>
    </w:p>
    <w:p w14:paraId="1C58A076"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In 2024, the domestic market is expected to continue to face many difficulties. The company still has accumulated losses, the company's production and business plan for 2024 is 140,000 tons. The Board of Directors of Thong Nhat Flat steel Joint stock company plans not to distribute dividends in 2024.</w:t>
      </w:r>
    </w:p>
    <w:p w14:paraId="0C1C8554" w14:textId="23101BE3"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8.</w:t>
      </w:r>
      <w:proofErr w:type="gramEnd"/>
      <w:r w:rsidRPr="00603B1C">
        <w:rPr>
          <w:rFonts w:ascii="Arial" w:hAnsi="Arial" w:cs="Arial"/>
          <w:color w:val="010000"/>
          <w:sz w:val="20"/>
        </w:rPr>
        <w:t xml:space="preserve"> Approve the salary of the </w:t>
      </w:r>
      <w:r w:rsidR="00145006" w:rsidRPr="00603B1C">
        <w:rPr>
          <w:rFonts w:ascii="Arial" w:hAnsi="Arial" w:cs="Arial"/>
          <w:color w:val="010000"/>
          <w:sz w:val="20"/>
        </w:rPr>
        <w:t>Executive</w:t>
      </w:r>
      <w:r w:rsidRPr="00603B1C">
        <w:rPr>
          <w:rFonts w:ascii="Arial" w:hAnsi="Arial" w:cs="Arial"/>
          <w:color w:val="010000"/>
          <w:sz w:val="20"/>
        </w:rPr>
        <w:t xml:space="preserve"> Chief of the Supervisory Board and the remuneration of the Board of Directors &amp; the Non-Specialized Supervisory Board in 2023, and the plan for 2024;</w:t>
      </w:r>
    </w:p>
    <w:p w14:paraId="3D33960C" w14:textId="619C0EB0"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approved the salary of the Specialized Chief of the Supervisory Board and the remuneration of the Board of Directors &amp; the Non-</w:t>
      </w:r>
      <w:r w:rsidR="00145006" w:rsidRPr="00603B1C">
        <w:rPr>
          <w:rFonts w:ascii="Arial" w:hAnsi="Arial" w:cs="Arial"/>
          <w:color w:val="010000"/>
          <w:sz w:val="20"/>
        </w:rPr>
        <w:t>executive</w:t>
      </w:r>
      <w:r w:rsidRPr="00603B1C">
        <w:rPr>
          <w:rFonts w:ascii="Arial" w:hAnsi="Arial" w:cs="Arial"/>
          <w:color w:val="010000"/>
          <w:sz w:val="20"/>
        </w:rPr>
        <w:t xml:space="preserve"> Supervisory Board in 2023, and the plan for 2024;</w:t>
      </w:r>
    </w:p>
    <w:p w14:paraId="7F101C7A" w14:textId="2F433E05" w:rsidR="00623C6F" w:rsidRPr="00603B1C" w:rsidRDefault="005F7730" w:rsidP="00D92119">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9.</w:t>
      </w:r>
      <w:proofErr w:type="gramEnd"/>
      <w:r w:rsidRPr="00603B1C">
        <w:rPr>
          <w:rFonts w:ascii="Arial" w:hAnsi="Arial" w:cs="Arial"/>
          <w:color w:val="010000"/>
          <w:sz w:val="20"/>
        </w:rPr>
        <w:t xml:space="preserve"> Approve the plan</w:t>
      </w:r>
      <w:r w:rsidR="00603B1C" w:rsidRPr="00603B1C">
        <w:rPr>
          <w:rFonts w:ascii="Arial" w:hAnsi="Arial" w:cs="Arial"/>
          <w:color w:val="010000"/>
          <w:sz w:val="20"/>
        </w:rPr>
        <w:t xml:space="preserve"> for the value</w:t>
      </w:r>
      <w:r w:rsidRPr="00603B1C">
        <w:rPr>
          <w:rFonts w:ascii="Arial" w:hAnsi="Arial" w:cs="Arial"/>
          <w:color w:val="010000"/>
          <w:sz w:val="20"/>
        </w:rPr>
        <w:t xml:space="preserve"> of the Company's contracts and transactions with the affiliated </w:t>
      </w:r>
      <w:r w:rsidR="00603B1C" w:rsidRPr="00603B1C">
        <w:rPr>
          <w:rFonts w:ascii="Arial" w:hAnsi="Arial" w:cs="Arial"/>
          <w:color w:val="010000"/>
          <w:sz w:val="20"/>
        </w:rPr>
        <w:t>p</w:t>
      </w:r>
      <w:r w:rsidRPr="00603B1C">
        <w:rPr>
          <w:rFonts w:ascii="Arial" w:hAnsi="Arial" w:cs="Arial"/>
          <w:color w:val="010000"/>
          <w:sz w:val="20"/>
        </w:rPr>
        <w:t>erson</w:t>
      </w:r>
      <w:r w:rsidR="00603B1C" w:rsidRPr="00603B1C">
        <w:rPr>
          <w:rFonts w:ascii="Arial" w:hAnsi="Arial" w:cs="Arial"/>
          <w:color w:val="010000"/>
          <w:sz w:val="20"/>
        </w:rPr>
        <w:t>s</w:t>
      </w:r>
    </w:p>
    <w:p w14:paraId="28217786" w14:textId="7939CAB5"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approved the </w:t>
      </w:r>
      <w:r w:rsidR="00603B1C" w:rsidRPr="00603B1C">
        <w:rPr>
          <w:rFonts w:ascii="Arial" w:hAnsi="Arial" w:cs="Arial"/>
          <w:color w:val="010000"/>
          <w:sz w:val="20"/>
        </w:rPr>
        <w:t xml:space="preserve">plan for the value </w:t>
      </w:r>
      <w:r w:rsidRPr="00603B1C">
        <w:rPr>
          <w:rFonts w:ascii="Arial" w:hAnsi="Arial" w:cs="Arial"/>
          <w:color w:val="010000"/>
          <w:sz w:val="20"/>
        </w:rPr>
        <w:t xml:space="preserve">of the Company's contracts and transactions with the affiliated </w:t>
      </w:r>
      <w:r w:rsidR="00603B1C" w:rsidRPr="00603B1C">
        <w:rPr>
          <w:rFonts w:ascii="Arial" w:hAnsi="Arial" w:cs="Arial"/>
          <w:color w:val="010000"/>
          <w:sz w:val="20"/>
        </w:rPr>
        <w:t>p</w:t>
      </w:r>
      <w:r w:rsidRPr="00603B1C">
        <w:rPr>
          <w:rFonts w:ascii="Arial" w:hAnsi="Arial" w:cs="Arial"/>
          <w:color w:val="010000"/>
          <w:sz w:val="20"/>
        </w:rPr>
        <w:t>erson</w:t>
      </w:r>
      <w:r w:rsidR="00603B1C" w:rsidRPr="00603B1C">
        <w:rPr>
          <w:rFonts w:ascii="Arial" w:hAnsi="Arial" w:cs="Arial"/>
          <w:color w:val="010000"/>
          <w:sz w:val="20"/>
        </w:rPr>
        <w:t>s</w:t>
      </w:r>
      <w:r w:rsidRPr="00603B1C">
        <w:rPr>
          <w:rFonts w:ascii="Arial" w:hAnsi="Arial" w:cs="Arial"/>
          <w:color w:val="010000"/>
          <w:sz w:val="20"/>
        </w:rPr>
        <w:t>;</w:t>
      </w:r>
    </w:p>
    <w:p w14:paraId="26F30541" w14:textId="3DEAD80D"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lastRenderedPageBreak/>
        <w:t>‎‎Article 10.</w:t>
      </w:r>
      <w:proofErr w:type="gramEnd"/>
      <w:r w:rsidRPr="00603B1C">
        <w:rPr>
          <w:rFonts w:ascii="Arial" w:hAnsi="Arial" w:cs="Arial"/>
          <w:color w:val="010000"/>
          <w:sz w:val="20"/>
        </w:rPr>
        <w:t xml:space="preserve"> Approve the dismissal of members of the Supervisory Board for the 2022-2027 </w:t>
      </w:r>
      <w:proofErr w:type="gramStart"/>
      <w:r w:rsidRPr="00603B1C">
        <w:rPr>
          <w:rFonts w:ascii="Arial" w:hAnsi="Arial" w:cs="Arial"/>
          <w:color w:val="010000"/>
          <w:sz w:val="20"/>
        </w:rPr>
        <w:t>term</w:t>
      </w:r>
      <w:proofErr w:type="gramEnd"/>
    </w:p>
    <w:p w14:paraId="541D6395"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approved the dismissal of Mr. </w:t>
      </w:r>
      <w:proofErr w:type="spellStart"/>
      <w:r w:rsidRPr="00603B1C">
        <w:rPr>
          <w:rFonts w:ascii="Arial" w:hAnsi="Arial" w:cs="Arial"/>
          <w:color w:val="010000"/>
          <w:sz w:val="20"/>
        </w:rPr>
        <w:t>Trieu</w:t>
      </w:r>
      <w:proofErr w:type="spellEnd"/>
      <w:r w:rsidRPr="00603B1C">
        <w:rPr>
          <w:rFonts w:ascii="Arial" w:hAnsi="Arial" w:cs="Arial"/>
          <w:color w:val="010000"/>
          <w:sz w:val="20"/>
        </w:rPr>
        <w:t xml:space="preserve"> Anh Vu from members of the Supervisory Board for the 2022-2027 </w:t>
      </w:r>
      <w:proofErr w:type="gramStart"/>
      <w:r w:rsidRPr="00603B1C">
        <w:rPr>
          <w:rFonts w:ascii="Arial" w:hAnsi="Arial" w:cs="Arial"/>
          <w:color w:val="010000"/>
          <w:sz w:val="20"/>
        </w:rPr>
        <w:t>term</w:t>
      </w:r>
      <w:proofErr w:type="gramEnd"/>
    </w:p>
    <w:p w14:paraId="06822439" w14:textId="492A5409"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11.</w:t>
      </w:r>
      <w:proofErr w:type="gramEnd"/>
      <w:r w:rsidRPr="00603B1C">
        <w:rPr>
          <w:rFonts w:ascii="Arial" w:hAnsi="Arial" w:cs="Arial"/>
          <w:color w:val="010000"/>
          <w:sz w:val="20"/>
        </w:rPr>
        <w:t xml:space="preserve"> Approve the additional election results of members of the Supervisory Board for the term 2022-2027.</w:t>
      </w:r>
    </w:p>
    <w:p w14:paraId="49B4510F"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03B1C">
        <w:rPr>
          <w:rFonts w:ascii="Arial" w:hAnsi="Arial" w:cs="Arial"/>
          <w:color w:val="010000"/>
          <w:sz w:val="20"/>
        </w:rPr>
        <w:t>The Meeting approved the additional election results of members of the Supervisory Board for the term 2022-2027.</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43"/>
      </w:tblGrid>
      <w:tr w:rsidR="00623C6F" w:rsidRPr="00603B1C" w14:paraId="1B06926B" w14:textId="77777777" w:rsidTr="005F7730">
        <w:trPr>
          <w:jc w:val="center"/>
        </w:trPr>
        <w:tc>
          <w:tcPr>
            <w:tcW w:w="5000" w:type="pct"/>
            <w:shd w:val="clear" w:color="auto" w:fill="auto"/>
            <w:vAlign w:val="center"/>
          </w:tcPr>
          <w:p w14:paraId="259688B0" w14:textId="392275E5"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List of elected members of the Supervisory Board</w:t>
            </w:r>
          </w:p>
        </w:tc>
      </w:tr>
      <w:tr w:rsidR="00623C6F" w:rsidRPr="00603B1C" w14:paraId="3B8FB189" w14:textId="77777777" w:rsidTr="005F7730">
        <w:trPr>
          <w:jc w:val="center"/>
        </w:trPr>
        <w:tc>
          <w:tcPr>
            <w:tcW w:w="5000" w:type="pct"/>
            <w:shd w:val="clear" w:color="auto" w:fill="auto"/>
            <w:vAlign w:val="center"/>
          </w:tcPr>
          <w:p w14:paraId="662BDB79" w14:textId="77777777" w:rsidR="00623C6F" w:rsidRPr="00603B1C" w:rsidRDefault="005F7730" w:rsidP="005F7730">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03B1C">
              <w:rPr>
                <w:rFonts w:ascii="Arial" w:hAnsi="Arial" w:cs="Arial"/>
                <w:color w:val="010000"/>
                <w:sz w:val="20"/>
              </w:rPr>
              <w:t>Mr. Nguyen Duy Duong</w:t>
            </w:r>
          </w:p>
        </w:tc>
      </w:tr>
    </w:tbl>
    <w:p w14:paraId="129AA2EC"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12.</w:t>
      </w:r>
      <w:proofErr w:type="gramEnd"/>
      <w:r w:rsidRPr="00603B1C">
        <w:rPr>
          <w:rFonts w:ascii="Arial" w:hAnsi="Arial" w:cs="Arial"/>
          <w:color w:val="010000"/>
          <w:sz w:val="20"/>
        </w:rPr>
        <w:t xml:space="preserve"> This General Mandate took effect from April 10, 2024</w:t>
      </w:r>
    </w:p>
    <w:p w14:paraId="5168FC85" w14:textId="77777777" w:rsidR="00623C6F" w:rsidRPr="00603B1C" w:rsidRDefault="005F7730" w:rsidP="00D92119">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603B1C">
        <w:rPr>
          <w:rFonts w:ascii="Arial" w:hAnsi="Arial" w:cs="Arial"/>
          <w:color w:val="010000"/>
          <w:sz w:val="20"/>
        </w:rPr>
        <w:t>Article 13: Responsibility for promulgation and implementation of this Resolution.</w:t>
      </w:r>
      <w:proofErr w:type="gramEnd"/>
    </w:p>
    <w:p w14:paraId="43AC4A6A" w14:textId="7A66C45C" w:rsidR="00623C6F" w:rsidRPr="00603B1C" w:rsidRDefault="005F7730" w:rsidP="00D92119">
      <w:pPr>
        <w:pBdr>
          <w:top w:val="nil"/>
          <w:left w:val="nil"/>
          <w:bottom w:val="nil"/>
          <w:right w:val="nil"/>
          <w:between w:val="nil"/>
        </w:pBdr>
        <w:tabs>
          <w:tab w:val="left" w:pos="450"/>
          <w:tab w:val="left" w:pos="9770"/>
        </w:tabs>
        <w:spacing w:after="120" w:line="360" w:lineRule="auto"/>
        <w:jc w:val="both"/>
        <w:rPr>
          <w:rFonts w:ascii="Arial" w:eastAsia="Arial" w:hAnsi="Arial" w:cs="Arial"/>
          <w:color w:val="010000"/>
          <w:sz w:val="20"/>
          <w:szCs w:val="20"/>
        </w:rPr>
      </w:pPr>
      <w:r w:rsidRPr="00603B1C">
        <w:rPr>
          <w:rFonts w:ascii="Arial" w:hAnsi="Arial" w:cs="Arial"/>
          <w:color w:val="010000"/>
          <w:sz w:val="20"/>
        </w:rPr>
        <w:t xml:space="preserve">The Meeting approves to assign the Board of Directors, the Supervisory Board and the Executive Board to disseminate and implement, as well as inspect and supervise the implementation of this General Mandate. </w:t>
      </w:r>
    </w:p>
    <w:sectPr w:rsidR="00623C6F" w:rsidRPr="00603B1C" w:rsidSect="005F7730">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F89"/>
    <w:multiLevelType w:val="multilevel"/>
    <w:tmpl w:val="32AA291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0C0B84"/>
    <w:multiLevelType w:val="multilevel"/>
    <w:tmpl w:val="D09204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6F"/>
    <w:rsid w:val="00145006"/>
    <w:rsid w:val="005F7730"/>
    <w:rsid w:val="00603B1C"/>
    <w:rsid w:val="00623C6F"/>
    <w:rsid w:val="00D92119"/>
    <w:rsid w:val="00F1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1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AB4E6A"/>
      <w:sz w:val="20"/>
      <w:szCs w:val="20"/>
      <w:u w:val="none"/>
    </w:rPr>
  </w:style>
  <w:style w:type="character" w:customStyle="1" w:styleId="Bodytext7">
    <w:name w:val="Body text (7)_"/>
    <w:basedOn w:val="DefaultParagraphFont"/>
    <w:link w:val="Bodytext70"/>
    <w:rPr>
      <w:rFonts w:ascii="Arial" w:eastAsia="Arial" w:hAnsi="Arial" w:cs="Arial"/>
      <w:b/>
      <w:bCs/>
      <w:i w:val="0"/>
      <w:iCs w:val="0"/>
      <w:smallCaps w:val="0"/>
      <w:strike w:val="0"/>
      <w:sz w:val="13"/>
      <w:szCs w:val="13"/>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0"/>
      <w:szCs w:val="30"/>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2" w:lineRule="auto"/>
    </w:pPr>
    <w:rPr>
      <w:rFonts w:ascii="Arial" w:eastAsia="Arial" w:hAnsi="Arial" w:cs="Arial"/>
      <w:sz w:val="15"/>
      <w:szCs w:val="15"/>
    </w:rPr>
  </w:style>
  <w:style w:type="paragraph" w:customStyle="1" w:styleId="Heading21">
    <w:name w:val="Heading #2"/>
    <w:basedOn w:val="Normal"/>
    <w:link w:val="Heading20"/>
    <w:pPr>
      <w:spacing w:line="250" w:lineRule="auto"/>
      <w:ind w:firstLine="10"/>
      <w:outlineLvl w:val="1"/>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Tableofcontents0">
    <w:name w:val="Table of contents"/>
    <w:basedOn w:val="Normal"/>
    <w:link w:val="Tableofcontents"/>
    <w:pPr>
      <w:ind w:firstLine="180"/>
    </w:pPr>
    <w:rPr>
      <w:rFonts w:ascii="Times New Roman" w:eastAsia="Times New Roman" w:hAnsi="Times New Roman" w:cs="Times New Roman"/>
    </w:rPr>
  </w:style>
  <w:style w:type="paragraph" w:customStyle="1" w:styleId="Heading11">
    <w:name w:val="Heading #1"/>
    <w:basedOn w:val="Normal"/>
    <w:link w:val="Heading10"/>
    <w:pPr>
      <w:spacing w:line="266" w:lineRule="auto"/>
      <w:jc w:val="center"/>
      <w:outlineLvl w:val="0"/>
    </w:pPr>
    <w:rPr>
      <w:rFonts w:ascii="Times New Roman" w:eastAsia="Times New Roman" w:hAnsi="Times New Roman" w:cs="Times New Roman"/>
      <w:sz w:val="30"/>
      <w:szCs w:val="30"/>
    </w:rPr>
  </w:style>
  <w:style w:type="paragraph" w:customStyle="1" w:styleId="Bodytext50">
    <w:name w:val="Body text (5)"/>
    <w:basedOn w:val="Normal"/>
    <w:link w:val="Bodytext5"/>
    <w:rPr>
      <w:rFonts w:ascii="Times New Roman" w:eastAsia="Times New Roman" w:hAnsi="Times New Roman" w:cs="Times New Roman"/>
      <w:sz w:val="20"/>
      <w:szCs w:val="20"/>
    </w:rPr>
  </w:style>
  <w:style w:type="paragraph" w:customStyle="1" w:styleId="Bodytext80">
    <w:name w:val="Body text (8)"/>
    <w:basedOn w:val="Normal"/>
    <w:link w:val="Bodytext8"/>
    <w:pPr>
      <w:jc w:val="center"/>
    </w:pPr>
    <w:rPr>
      <w:rFonts w:ascii="Arial" w:eastAsia="Arial" w:hAnsi="Arial" w:cs="Arial"/>
      <w:color w:val="AB4E6A"/>
      <w:sz w:val="20"/>
      <w:szCs w:val="20"/>
    </w:rPr>
  </w:style>
  <w:style w:type="paragraph" w:customStyle="1" w:styleId="Bodytext70">
    <w:name w:val="Body text (7)"/>
    <w:basedOn w:val="Normal"/>
    <w:link w:val="Bodytext7"/>
    <w:pPr>
      <w:ind w:left="2040"/>
    </w:pPr>
    <w:rPr>
      <w:rFonts w:ascii="Arial" w:eastAsia="Arial" w:hAnsi="Arial" w:cs="Arial"/>
      <w:b/>
      <w:bCs/>
      <w:sz w:val="13"/>
      <w:szCs w:val="13"/>
    </w:rPr>
  </w:style>
  <w:style w:type="paragraph" w:customStyle="1" w:styleId="Bodytext60">
    <w:name w:val="Body text (6)"/>
    <w:basedOn w:val="Normal"/>
    <w:link w:val="Bodytext6"/>
    <w:pPr>
      <w:jc w:val="center"/>
    </w:pPr>
    <w:rPr>
      <w:rFonts w:ascii="Times New Roman" w:eastAsia="Times New Roman" w:hAnsi="Times New Roman" w:cs="Times New Roman"/>
      <w:b/>
      <w:bCs/>
      <w:sz w:val="30"/>
      <w:szCs w:val="30"/>
    </w:rPr>
  </w:style>
  <w:style w:type="table" w:styleId="TableGrid">
    <w:name w:val="Table Grid"/>
    <w:basedOn w:val="TableNormal"/>
    <w:uiPriority w:val="39"/>
    <w:rsid w:val="003C7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AB4E6A"/>
      <w:sz w:val="20"/>
      <w:szCs w:val="20"/>
      <w:u w:val="none"/>
    </w:rPr>
  </w:style>
  <w:style w:type="character" w:customStyle="1" w:styleId="Bodytext7">
    <w:name w:val="Body text (7)_"/>
    <w:basedOn w:val="DefaultParagraphFont"/>
    <w:link w:val="Bodytext70"/>
    <w:rPr>
      <w:rFonts w:ascii="Arial" w:eastAsia="Arial" w:hAnsi="Arial" w:cs="Arial"/>
      <w:b/>
      <w:bCs/>
      <w:i w:val="0"/>
      <w:iCs w:val="0"/>
      <w:smallCaps w:val="0"/>
      <w:strike w:val="0"/>
      <w:sz w:val="13"/>
      <w:szCs w:val="13"/>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0"/>
      <w:szCs w:val="30"/>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52" w:lineRule="auto"/>
    </w:pPr>
    <w:rPr>
      <w:rFonts w:ascii="Arial" w:eastAsia="Arial" w:hAnsi="Arial" w:cs="Arial"/>
      <w:sz w:val="15"/>
      <w:szCs w:val="15"/>
    </w:rPr>
  </w:style>
  <w:style w:type="paragraph" w:customStyle="1" w:styleId="Heading21">
    <w:name w:val="Heading #2"/>
    <w:basedOn w:val="Normal"/>
    <w:link w:val="Heading20"/>
    <w:pPr>
      <w:spacing w:line="250" w:lineRule="auto"/>
      <w:ind w:firstLine="10"/>
      <w:outlineLvl w:val="1"/>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Tableofcontents0">
    <w:name w:val="Table of contents"/>
    <w:basedOn w:val="Normal"/>
    <w:link w:val="Tableofcontents"/>
    <w:pPr>
      <w:ind w:firstLine="180"/>
    </w:pPr>
    <w:rPr>
      <w:rFonts w:ascii="Times New Roman" w:eastAsia="Times New Roman" w:hAnsi="Times New Roman" w:cs="Times New Roman"/>
    </w:rPr>
  </w:style>
  <w:style w:type="paragraph" w:customStyle="1" w:styleId="Heading11">
    <w:name w:val="Heading #1"/>
    <w:basedOn w:val="Normal"/>
    <w:link w:val="Heading10"/>
    <w:pPr>
      <w:spacing w:line="266" w:lineRule="auto"/>
      <w:jc w:val="center"/>
      <w:outlineLvl w:val="0"/>
    </w:pPr>
    <w:rPr>
      <w:rFonts w:ascii="Times New Roman" w:eastAsia="Times New Roman" w:hAnsi="Times New Roman" w:cs="Times New Roman"/>
      <w:sz w:val="30"/>
      <w:szCs w:val="30"/>
    </w:rPr>
  </w:style>
  <w:style w:type="paragraph" w:customStyle="1" w:styleId="Bodytext50">
    <w:name w:val="Body text (5)"/>
    <w:basedOn w:val="Normal"/>
    <w:link w:val="Bodytext5"/>
    <w:rPr>
      <w:rFonts w:ascii="Times New Roman" w:eastAsia="Times New Roman" w:hAnsi="Times New Roman" w:cs="Times New Roman"/>
      <w:sz w:val="20"/>
      <w:szCs w:val="20"/>
    </w:rPr>
  </w:style>
  <w:style w:type="paragraph" w:customStyle="1" w:styleId="Bodytext80">
    <w:name w:val="Body text (8)"/>
    <w:basedOn w:val="Normal"/>
    <w:link w:val="Bodytext8"/>
    <w:pPr>
      <w:jc w:val="center"/>
    </w:pPr>
    <w:rPr>
      <w:rFonts w:ascii="Arial" w:eastAsia="Arial" w:hAnsi="Arial" w:cs="Arial"/>
      <w:color w:val="AB4E6A"/>
      <w:sz w:val="20"/>
      <w:szCs w:val="20"/>
    </w:rPr>
  </w:style>
  <w:style w:type="paragraph" w:customStyle="1" w:styleId="Bodytext70">
    <w:name w:val="Body text (7)"/>
    <w:basedOn w:val="Normal"/>
    <w:link w:val="Bodytext7"/>
    <w:pPr>
      <w:ind w:left="2040"/>
    </w:pPr>
    <w:rPr>
      <w:rFonts w:ascii="Arial" w:eastAsia="Arial" w:hAnsi="Arial" w:cs="Arial"/>
      <w:b/>
      <w:bCs/>
      <w:sz w:val="13"/>
      <w:szCs w:val="13"/>
    </w:rPr>
  </w:style>
  <w:style w:type="paragraph" w:customStyle="1" w:styleId="Bodytext60">
    <w:name w:val="Body text (6)"/>
    <w:basedOn w:val="Normal"/>
    <w:link w:val="Bodytext6"/>
    <w:pPr>
      <w:jc w:val="center"/>
    </w:pPr>
    <w:rPr>
      <w:rFonts w:ascii="Times New Roman" w:eastAsia="Times New Roman" w:hAnsi="Times New Roman" w:cs="Times New Roman"/>
      <w:b/>
      <w:bCs/>
      <w:sz w:val="30"/>
      <w:szCs w:val="30"/>
    </w:rPr>
  </w:style>
  <w:style w:type="table" w:styleId="TableGrid">
    <w:name w:val="Table Grid"/>
    <w:basedOn w:val="TableNormal"/>
    <w:uiPriority w:val="39"/>
    <w:rsid w:val="003C7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3/AZTvmOaOSCAP24NJyY59mWA==">CgMxLjA4AHIhMTdHaGtTMWcxdnBGU0VNSnNFVC1KMHZ6M3llbHNzbU9p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2024-04-15T01:20:00Z</dcterms:created>
  <dcterms:modified xsi:type="dcterms:W3CDTF">2024-04-16T10:12:00Z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a8bedef9fab6db16cd9f6b1e16f78ecdd1a948263bbd956a8c99a1ad92616065</vt:lpwstr>
  </property>
</Properties>
</file>