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8AFEA" w14:textId="3258464A" w:rsidR="007E4D5C" w:rsidRPr="00360E1C" w:rsidRDefault="007E4D5C" w:rsidP="008E747F">
      <w:pPr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360E1C">
        <w:rPr>
          <w:rFonts w:ascii="Arial" w:hAnsi="Arial" w:cs="Arial"/>
          <w:b/>
          <w:color w:val="010000"/>
          <w:sz w:val="20"/>
        </w:rPr>
        <w:t>EVS: Information disclosure</w:t>
      </w:r>
      <w:r w:rsidR="00360E1C" w:rsidRPr="00360E1C">
        <w:rPr>
          <w:rFonts w:ascii="Arial" w:hAnsi="Arial" w:cs="Arial"/>
          <w:b/>
          <w:color w:val="010000"/>
          <w:sz w:val="20"/>
        </w:rPr>
        <w:t xml:space="preserve"> on changing the Business Registration Certificate</w:t>
      </w:r>
    </w:p>
    <w:p w14:paraId="6B385E9E" w14:textId="1F0E5087" w:rsidR="007E4D5C" w:rsidRPr="00677F09" w:rsidRDefault="007E4D5C" w:rsidP="008E747F">
      <w:pPr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  <w:r w:rsidRPr="00677F09">
        <w:rPr>
          <w:rFonts w:ascii="Arial" w:hAnsi="Arial" w:cs="Arial"/>
          <w:bCs/>
          <w:color w:val="010000"/>
          <w:sz w:val="20"/>
        </w:rPr>
        <w:t xml:space="preserve">On April 12, 2024, Everest Securities Joint Stock Company announced </w:t>
      </w:r>
      <w:r w:rsidR="00677F09" w:rsidRPr="00677F09">
        <w:rPr>
          <w:rFonts w:ascii="Arial" w:hAnsi="Arial" w:cs="Arial"/>
          <w:bCs/>
          <w:color w:val="010000"/>
          <w:sz w:val="20"/>
        </w:rPr>
        <w:t>Notice No. 289/2024/TB-EVS on changing the Business Registration Certificate/Establishment and Operation License/Operation License as follows:</w:t>
      </w:r>
    </w:p>
    <w:p w14:paraId="37D15370" w14:textId="160BC462" w:rsidR="007E4D5C" w:rsidRPr="00677F09" w:rsidRDefault="007E4D5C" w:rsidP="008E747F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77F09">
        <w:rPr>
          <w:rFonts w:ascii="Arial" w:hAnsi="Arial" w:cs="Arial"/>
          <w:color w:val="010000"/>
          <w:sz w:val="20"/>
        </w:rPr>
        <w:t>1.</w:t>
      </w:r>
      <w:r w:rsidRPr="00677F09">
        <w:rPr>
          <w:rFonts w:ascii="Arial" w:hAnsi="Arial" w:cs="Arial"/>
          <w:color w:val="010000"/>
          <w:sz w:val="20"/>
        </w:rPr>
        <w:tab/>
        <w:t>Information before</w:t>
      </w:r>
      <w:r w:rsidR="00677F09" w:rsidRPr="00677F09">
        <w:rPr>
          <w:rFonts w:ascii="Arial" w:hAnsi="Arial" w:cs="Arial"/>
          <w:color w:val="010000"/>
          <w:sz w:val="20"/>
        </w:rPr>
        <w:t xml:space="preserve"> the</w:t>
      </w:r>
      <w:r w:rsidRPr="00677F09">
        <w:rPr>
          <w:rFonts w:ascii="Arial" w:hAnsi="Arial" w:cs="Arial"/>
          <w:color w:val="010000"/>
          <w:sz w:val="20"/>
        </w:rPr>
        <w:t xml:space="preserve"> change</w:t>
      </w:r>
      <w:r w:rsidR="00677F09" w:rsidRPr="00677F09">
        <w:rPr>
          <w:rFonts w:ascii="Arial" w:hAnsi="Arial" w:cs="Arial"/>
          <w:color w:val="010000"/>
          <w:sz w:val="20"/>
        </w:rPr>
        <w:t>:</w:t>
      </w:r>
    </w:p>
    <w:p w14:paraId="747AC8B3" w14:textId="77777777" w:rsidR="007E4D5C" w:rsidRPr="00677F09" w:rsidRDefault="007E4D5C" w:rsidP="008E747F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77F09">
        <w:rPr>
          <w:rFonts w:ascii="Arial" w:hAnsi="Arial" w:cs="Arial"/>
          <w:color w:val="010000"/>
          <w:sz w:val="20"/>
        </w:rPr>
        <w:t>-</w:t>
      </w:r>
      <w:r w:rsidRPr="00677F09">
        <w:rPr>
          <w:rFonts w:ascii="Arial" w:hAnsi="Arial" w:cs="Arial"/>
          <w:color w:val="010000"/>
          <w:sz w:val="20"/>
        </w:rPr>
        <w:tab/>
        <w:t>Business lines:</w:t>
      </w:r>
    </w:p>
    <w:p w14:paraId="25727324" w14:textId="5C79A1CA" w:rsidR="007E4D5C" w:rsidRPr="00677F09" w:rsidRDefault="007E4D5C" w:rsidP="008E747F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77F09">
        <w:rPr>
          <w:rFonts w:ascii="Arial" w:hAnsi="Arial" w:cs="Arial"/>
          <w:color w:val="010000"/>
          <w:sz w:val="20"/>
        </w:rPr>
        <w:t>+</w:t>
      </w:r>
      <w:r w:rsidRPr="00677F09">
        <w:rPr>
          <w:rFonts w:ascii="Arial" w:hAnsi="Arial" w:cs="Arial"/>
          <w:color w:val="010000"/>
          <w:sz w:val="20"/>
        </w:rPr>
        <w:tab/>
        <w:t>Securities broker</w:t>
      </w:r>
      <w:r w:rsidR="00677F09" w:rsidRPr="00677F09">
        <w:rPr>
          <w:rFonts w:ascii="Arial" w:hAnsi="Arial" w:cs="Arial"/>
          <w:color w:val="010000"/>
          <w:sz w:val="20"/>
        </w:rPr>
        <w:t>;</w:t>
      </w:r>
    </w:p>
    <w:p w14:paraId="32B7E626" w14:textId="6FB19BFC" w:rsidR="007E4D5C" w:rsidRPr="00677F09" w:rsidRDefault="007E4D5C" w:rsidP="008E747F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77F09">
        <w:rPr>
          <w:rFonts w:ascii="Arial" w:hAnsi="Arial" w:cs="Arial"/>
          <w:color w:val="010000"/>
          <w:sz w:val="20"/>
        </w:rPr>
        <w:t>+</w:t>
      </w:r>
      <w:r w:rsidRPr="00677F09">
        <w:rPr>
          <w:rFonts w:ascii="Arial" w:hAnsi="Arial" w:cs="Arial"/>
          <w:color w:val="010000"/>
          <w:sz w:val="20"/>
        </w:rPr>
        <w:tab/>
        <w:t>Securities investment consulting</w:t>
      </w:r>
      <w:r w:rsidR="00677F09" w:rsidRPr="00677F09">
        <w:rPr>
          <w:rFonts w:ascii="Arial" w:hAnsi="Arial" w:cs="Arial"/>
          <w:color w:val="010000"/>
          <w:sz w:val="20"/>
        </w:rPr>
        <w:t>.</w:t>
      </w:r>
    </w:p>
    <w:p w14:paraId="540510E0" w14:textId="03A419E8" w:rsidR="007E4D5C" w:rsidRPr="00677F09" w:rsidRDefault="007E4D5C" w:rsidP="008E747F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77F09">
        <w:rPr>
          <w:rFonts w:ascii="Arial" w:hAnsi="Arial" w:cs="Arial"/>
          <w:color w:val="010000"/>
          <w:sz w:val="20"/>
        </w:rPr>
        <w:t>2.</w:t>
      </w:r>
      <w:r w:rsidRPr="00677F09">
        <w:rPr>
          <w:rFonts w:ascii="Arial" w:hAnsi="Arial" w:cs="Arial"/>
          <w:color w:val="010000"/>
          <w:sz w:val="20"/>
        </w:rPr>
        <w:tab/>
        <w:t xml:space="preserve">Information after </w:t>
      </w:r>
      <w:r w:rsidR="00677F09" w:rsidRPr="00677F09">
        <w:rPr>
          <w:rFonts w:ascii="Arial" w:hAnsi="Arial" w:cs="Arial"/>
          <w:color w:val="010000"/>
          <w:sz w:val="20"/>
        </w:rPr>
        <w:t>the change:</w:t>
      </w:r>
    </w:p>
    <w:p w14:paraId="61654FBE" w14:textId="77777777" w:rsidR="007E4D5C" w:rsidRPr="00677F09" w:rsidRDefault="007E4D5C" w:rsidP="008E747F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77F09">
        <w:rPr>
          <w:rFonts w:ascii="Arial" w:hAnsi="Arial" w:cs="Arial"/>
          <w:color w:val="010000"/>
          <w:sz w:val="20"/>
        </w:rPr>
        <w:t>-</w:t>
      </w:r>
      <w:r w:rsidRPr="00677F09">
        <w:rPr>
          <w:rFonts w:ascii="Arial" w:hAnsi="Arial" w:cs="Arial"/>
          <w:color w:val="010000"/>
          <w:sz w:val="20"/>
        </w:rPr>
        <w:tab/>
        <w:t>Business lines:</w:t>
      </w:r>
    </w:p>
    <w:p w14:paraId="06B11B39" w14:textId="2CF210A4" w:rsidR="007E4D5C" w:rsidRPr="00677F09" w:rsidRDefault="00677F09" w:rsidP="008E747F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77F09">
        <w:rPr>
          <w:rFonts w:ascii="Arial" w:hAnsi="Arial" w:cs="Arial"/>
          <w:color w:val="010000"/>
          <w:sz w:val="20"/>
        </w:rPr>
        <w:t>+</w:t>
      </w:r>
      <w:r w:rsidRPr="00677F09">
        <w:rPr>
          <w:rFonts w:ascii="Arial" w:hAnsi="Arial" w:cs="Arial"/>
          <w:color w:val="010000"/>
          <w:sz w:val="20"/>
        </w:rPr>
        <w:tab/>
      </w:r>
      <w:r w:rsidR="007E4D5C" w:rsidRPr="00677F09">
        <w:rPr>
          <w:rFonts w:ascii="Arial" w:hAnsi="Arial" w:cs="Arial"/>
          <w:color w:val="010000"/>
          <w:sz w:val="20"/>
        </w:rPr>
        <w:t>Securities broker</w:t>
      </w:r>
      <w:r w:rsidRPr="00677F09">
        <w:rPr>
          <w:rFonts w:ascii="Arial" w:hAnsi="Arial" w:cs="Arial"/>
          <w:color w:val="010000"/>
          <w:sz w:val="20"/>
        </w:rPr>
        <w:t>;</w:t>
      </w:r>
      <w:bookmarkStart w:id="0" w:name="_GoBack"/>
      <w:bookmarkEnd w:id="0"/>
    </w:p>
    <w:p w14:paraId="536DFC19" w14:textId="733E2082" w:rsidR="007E4D5C" w:rsidRPr="00677F09" w:rsidRDefault="00677F09" w:rsidP="008E747F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77F09">
        <w:rPr>
          <w:rFonts w:ascii="Arial" w:hAnsi="Arial" w:cs="Arial"/>
          <w:color w:val="010000"/>
          <w:sz w:val="20"/>
        </w:rPr>
        <w:t>+</w:t>
      </w:r>
      <w:r w:rsidRPr="00677F09">
        <w:rPr>
          <w:rFonts w:ascii="Arial" w:hAnsi="Arial" w:cs="Arial"/>
          <w:color w:val="010000"/>
          <w:sz w:val="20"/>
        </w:rPr>
        <w:tab/>
      </w:r>
      <w:r w:rsidR="007E4D5C" w:rsidRPr="00677F09">
        <w:rPr>
          <w:rFonts w:ascii="Arial" w:hAnsi="Arial" w:cs="Arial"/>
          <w:color w:val="010000"/>
          <w:sz w:val="20"/>
        </w:rPr>
        <w:t>Securities investment consulting</w:t>
      </w:r>
      <w:r w:rsidRPr="00677F09">
        <w:rPr>
          <w:rFonts w:ascii="Arial" w:hAnsi="Arial" w:cs="Arial"/>
          <w:color w:val="010000"/>
          <w:sz w:val="20"/>
        </w:rPr>
        <w:t>;</w:t>
      </w:r>
    </w:p>
    <w:p w14:paraId="3D6D333C" w14:textId="01DDD959" w:rsidR="007E4D5C" w:rsidRPr="00677F09" w:rsidRDefault="00677F09" w:rsidP="008E747F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77F09">
        <w:rPr>
          <w:rFonts w:ascii="Arial" w:hAnsi="Arial" w:cs="Arial"/>
          <w:color w:val="010000"/>
          <w:sz w:val="20"/>
        </w:rPr>
        <w:t>+</w:t>
      </w:r>
      <w:r w:rsidRPr="00677F09">
        <w:rPr>
          <w:rFonts w:ascii="Arial" w:hAnsi="Arial" w:cs="Arial"/>
          <w:color w:val="010000"/>
          <w:sz w:val="20"/>
        </w:rPr>
        <w:tab/>
      </w:r>
      <w:r w:rsidR="007E4D5C" w:rsidRPr="00677F09">
        <w:rPr>
          <w:rFonts w:ascii="Arial" w:hAnsi="Arial" w:cs="Arial"/>
          <w:color w:val="010000"/>
          <w:sz w:val="20"/>
        </w:rPr>
        <w:t xml:space="preserve">Securities </w:t>
      </w:r>
      <w:r w:rsidRPr="00677F09">
        <w:rPr>
          <w:rFonts w:ascii="Arial" w:hAnsi="Arial" w:cs="Arial"/>
          <w:color w:val="010000"/>
          <w:sz w:val="20"/>
        </w:rPr>
        <w:t xml:space="preserve">issuance </w:t>
      </w:r>
      <w:r w:rsidR="007E4D5C" w:rsidRPr="00677F09">
        <w:rPr>
          <w:rFonts w:ascii="Arial" w:hAnsi="Arial" w:cs="Arial"/>
          <w:color w:val="010000"/>
          <w:sz w:val="20"/>
        </w:rPr>
        <w:t>underwriting</w:t>
      </w:r>
      <w:r w:rsidRPr="00677F09">
        <w:rPr>
          <w:rFonts w:ascii="Arial" w:hAnsi="Arial" w:cs="Arial"/>
          <w:color w:val="010000"/>
          <w:sz w:val="20"/>
        </w:rPr>
        <w:t>.</w:t>
      </w:r>
    </w:p>
    <w:p w14:paraId="21534AB5" w14:textId="2A6C1E85" w:rsidR="007E4D5C" w:rsidRPr="00677F09" w:rsidRDefault="007E4D5C" w:rsidP="008E747F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77F09">
        <w:rPr>
          <w:rFonts w:ascii="Arial" w:hAnsi="Arial" w:cs="Arial"/>
          <w:color w:val="010000"/>
          <w:sz w:val="20"/>
        </w:rPr>
        <w:t>3.</w:t>
      </w:r>
      <w:r w:rsidRPr="00677F09">
        <w:rPr>
          <w:rFonts w:ascii="Arial" w:hAnsi="Arial" w:cs="Arial"/>
          <w:color w:val="010000"/>
          <w:sz w:val="20"/>
        </w:rPr>
        <w:tab/>
        <w:t>Reasons for changes: Supplement the business lines</w:t>
      </w:r>
    </w:p>
    <w:p w14:paraId="1365C74A" w14:textId="77777777" w:rsidR="007E4D5C" w:rsidRPr="00677F09" w:rsidRDefault="007E4D5C" w:rsidP="008E747F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77F09">
        <w:rPr>
          <w:rFonts w:ascii="Arial" w:hAnsi="Arial" w:cs="Arial"/>
          <w:color w:val="010000"/>
          <w:sz w:val="20"/>
        </w:rPr>
        <w:t>4.</w:t>
      </w:r>
      <w:r w:rsidRPr="00677F09">
        <w:rPr>
          <w:rFonts w:ascii="Arial" w:hAnsi="Arial" w:cs="Arial"/>
          <w:color w:val="010000"/>
          <w:sz w:val="20"/>
        </w:rPr>
        <w:tab/>
        <w:t>Effective date: April 11, 2024</w:t>
      </w:r>
    </w:p>
    <w:p w14:paraId="00000009" w14:textId="22E180BC" w:rsidR="008003AD" w:rsidRPr="00677F09" w:rsidRDefault="007E4D5C" w:rsidP="008E747F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77F09">
        <w:rPr>
          <w:rFonts w:ascii="Arial" w:hAnsi="Arial" w:cs="Arial"/>
          <w:color w:val="010000"/>
          <w:sz w:val="20"/>
        </w:rPr>
        <w:t>5.</w:t>
      </w:r>
      <w:r w:rsidRPr="00677F09">
        <w:rPr>
          <w:rFonts w:ascii="Arial" w:hAnsi="Arial" w:cs="Arial"/>
          <w:color w:val="010000"/>
          <w:sz w:val="20"/>
        </w:rPr>
        <w:tab/>
        <w:t xml:space="preserve">Date of receiving License for Establishment of </w:t>
      </w:r>
      <w:r w:rsidR="00677F09" w:rsidRPr="00677F09">
        <w:rPr>
          <w:rFonts w:ascii="Arial" w:hAnsi="Arial" w:cs="Arial"/>
          <w:color w:val="010000"/>
          <w:sz w:val="20"/>
        </w:rPr>
        <w:t xml:space="preserve">the </w:t>
      </w:r>
      <w:r w:rsidRPr="00677F09">
        <w:rPr>
          <w:rFonts w:ascii="Arial" w:hAnsi="Arial" w:cs="Arial"/>
          <w:color w:val="010000"/>
          <w:sz w:val="20"/>
        </w:rPr>
        <w:t>Branch: April 12, 2024</w:t>
      </w:r>
      <w:r w:rsidR="008E747F">
        <w:rPr>
          <w:rFonts w:ascii="Arial" w:hAnsi="Arial" w:cs="Arial"/>
          <w:color w:val="010000"/>
          <w:sz w:val="20"/>
        </w:rPr>
        <w:t>.</w:t>
      </w:r>
    </w:p>
    <w:sectPr w:rsidR="008003AD" w:rsidRPr="00677F09" w:rsidSect="007E4D5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B4C1F"/>
    <w:multiLevelType w:val="multilevel"/>
    <w:tmpl w:val="01162AF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AD"/>
    <w:rsid w:val="002D4FEA"/>
    <w:rsid w:val="00360E1C"/>
    <w:rsid w:val="00677F09"/>
    <w:rsid w:val="007E4D5C"/>
    <w:rsid w:val="008003AD"/>
    <w:rsid w:val="008B499E"/>
    <w:rsid w:val="008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EA2EF"/>
  <w15:docId w15:val="{DBDFDA35-CD8E-45A8-AB0E-3626206B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77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ogp1xLf56kjPgJRz+QbvHel1ww==">CgMxLjAyCGguZ2pkZ3hzOAByITFyOGFrTnQtTTE1UWNIMnAxMVhCN3h0WXhDUWZ2eUtvdg==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2024-04-16T03:23:00Z</dcterms:created>
  <dcterms:modified xsi:type="dcterms:W3CDTF">2024-04-17T06:57:00Z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12cbad4ef0bd702c97f4433a325de5e78a933b1e92556d8fc2da6cc3ff1e175b</vt:lpwstr>
  </property>
</Properties>
</file>