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8D46" w14:textId="77777777" w:rsidR="00773719" w:rsidRPr="005C079F" w:rsidRDefault="00CD4407" w:rsidP="00CD440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355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5C079F">
        <w:rPr>
          <w:rFonts w:ascii="Arial" w:hAnsi="Arial" w:cs="Arial"/>
          <w:b/>
          <w:color w:val="010000"/>
          <w:sz w:val="20"/>
        </w:rPr>
        <w:t>PTH</w:t>
      </w:r>
      <w:proofErr w:type="spellEnd"/>
      <w:r w:rsidRPr="005C079F">
        <w:rPr>
          <w:rFonts w:ascii="Arial" w:hAnsi="Arial" w:cs="Arial"/>
          <w:b/>
          <w:color w:val="010000"/>
          <w:sz w:val="20"/>
        </w:rPr>
        <w:t>: Annual General Mandate 2024</w:t>
      </w:r>
    </w:p>
    <w:p w14:paraId="716C81CE" w14:textId="2C51B75F" w:rsidR="00773719" w:rsidRPr="005C079F" w:rsidRDefault="00CD4407" w:rsidP="00CD44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On April 10, 2024, Ha </w:t>
      </w:r>
      <w:proofErr w:type="spellStart"/>
      <w:r w:rsidRPr="005C079F">
        <w:rPr>
          <w:rFonts w:ascii="Arial" w:hAnsi="Arial" w:cs="Arial"/>
          <w:color w:val="010000"/>
          <w:sz w:val="20"/>
        </w:rPr>
        <w:t>Tay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C079F">
        <w:rPr>
          <w:rFonts w:ascii="Arial" w:hAnsi="Arial" w:cs="Arial"/>
          <w:color w:val="010000"/>
          <w:sz w:val="20"/>
        </w:rPr>
        <w:t>Petrolimex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Transportation and Service Joint Stock Company announced </w:t>
      </w:r>
      <w:r w:rsidR="00860ECE" w:rsidRPr="005C079F">
        <w:rPr>
          <w:rFonts w:ascii="Arial" w:hAnsi="Arial" w:cs="Arial"/>
          <w:color w:val="010000"/>
          <w:sz w:val="20"/>
        </w:rPr>
        <w:t>General Mandate</w:t>
      </w:r>
      <w:r w:rsidRPr="005C079F">
        <w:rPr>
          <w:rFonts w:ascii="Arial" w:hAnsi="Arial" w:cs="Arial"/>
          <w:color w:val="010000"/>
          <w:sz w:val="20"/>
        </w:rPr>
        <w:t xml:space="preserve"> No.</w:t>
      </w:r>
      <w:r w:rsidR="00860ECE" w:rsidRPr="005C079F">
        <w:rPr>
          <w:rFonts w:ascii="Arial" w:hAnsi="Arial" w:cs="Arial"/>
          <w:color w:val="010000"/>
          <w:sz w:val="20"/>
        </w:rPr>
        <w:t xml:space="preserve"> </w:t>
      </w:r>
      <w:r w:rsidRPr="005C079F">
        <w:rPr>
          <w:rFonts w:ascii="Arial" w:hAnsi="Arial" w:cs="Arial"/>
          <w:color w:val="010000"/>
          <w:sz w:val="20"/>
        </w:rPr>
        <w:t>111/NQ-</w:t>
      </w:r>
      <w:proofErr w:type="spellStart"/>
      <w:r w:rsidRPr="005C079F">
        <w:rPr>
          <w:rFonts w:ascii="Arial" w:hAnsi="Arial" w:cs="Arial"/>
          <w:color w:val="010000"/>
          <w:sz w:val="20"/>
        </w:rPr>
        <w:t>DHDCD</w:t>
      </w:r>
      <w:proofErr w:type="spellEnd"/>
      <w:r w:rsidRPr="005C079F">
        <w:rPr>
          <w:rFonts w:ascii="Arial" w:hAnsi="Arial" w:cs="Arial"/>
          <w:color w:val="010000"/>
          <w:sz w:val="20"/>
        </w:rPr>
        <w:t>-</w:t>
      </w:r>
      <w:proofErr w:type="spellStart"/>
      <w:r w:rsidRPr="005C079F">
        <w:rPr>
          <w:rFonts w:ascii="Arial" w:hAnsi="Arial" w:cs="Arial"/>
          <w:color w:val="010000"/>
          <w:sz w:val="20"/>
        </w:rPr>
        <w:t>PTSHT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as follows: </w:t>
      </w:r>
    </w:p>
    <w:p w14:paraId="6ABCB1B2" w14:textId="3A9A695D" w:rsidR="00773719" w:rsidRPr="005C079F" w:rsidRDefault="00CD4407" w:rsidP="00CD44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‎‎Article 1. The Annual </w:t>
      </w:r>
      <w:r w:rsidR="005C079F" w:rsidRPr="005C079F">
        <w:rPr>
          <w:rFonts w:ascii="Arial" w:hAnsi="Arial" w:cs="Arial"/>
          <w:color w:val="010000"/>
          <w:sz w:val="20"/>
        </w:rPr>
        <w:t>General Meeting of Shareholders</w:t>
      </w:r>
      <w:r w:rsidRPr="005C079F">
        <w:rPr>
          <w:rFonts w:ascii="Arial" w:hAnsi="Arial" w:cs="Arial"/>
          <w:color w:val="010000"/>
          <w:sz w:val="20"/>
        </w:rPr>
        <w:t xml:space="preserve"> 2024 of Ha </w:t>
      </w:r>
      <w:proofErr w:type="spellStart"/>
      <w:r w:rsidRPr="005C079F">
        <w:rPr>
          <w:rFonts w:ascii="Arial" w:hAnsi="Arial" w:cs="Arial"/>
          <w:color w:val="010000"/>
          <w:sz w:val="20"/>
        </w:rPr>
        <w:t>Tay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C079F">
        <w:rPr>
          <w:rFonts w:ascii="Arial" w:hAnsi="Arial" w:cs="Arial"/>
          <w:color w:val="010000"/>
          <w:sz w:val="20"/>
        </w:rPr>
        <w:t>Petrolimex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Transportation and Service Joint Stock Company unanimously approved the following contents:</w:t>
      </w:r>
    </w:p>
    <w:p w14:paraId="63F9EF3A" w14:textId="77777777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Report on activities of the Board of Directors in 2023 and orientation in 2024.</w:t>
      </w:r>
    </w:p>
    <w:p w14:paraId="065B5DB0" w14:textId="0FFEC8E3" w:rsidR="00773719" w:rsidRPr="005C079F" w:rsidRDefault="00860ECE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Report on business results</w:t>
      </w:r>
      <w:r w:rsidR="00CD4407" w:rsidRPr="005C079F">
        <w:rPr>
          <w:rFonts w:ascii="Arial" w:hAnsi="Arial" w:cs="Arial"/>
          <w:color w:val="010000"/>
          <w:sz w:val="20"/>
        </w:rPr>
        <w:t xml:space="preserve"> 2023 and Business Plan 2024 of the Company; Some of the </w:t>
      </w:r>
      <w:r w:rsidRPr="005C079F">
        <w:rPr>
          <w:rFonts w:ascii="Arial" w:hAnsi="Arial" w:cs="Arial"/>
          <w:color w:val="010000"/>
          <w:sz w:val="20"/>
        </w:rPr>
        <w:t xml:space="preserve">targets </w:t>
      </w:r>
      <w:r w:rsidR="00CD4407" w:rsidRPr="005C079F">
        <w:rPr>
          <w:rFonts w:ascii="Arial" w:hAnsi="Arial" w:cs="Arial"/>
          <w:color w:val="010000"/>
          <w:sz w:val="20"/>
        </w:rPr>
        <w:t>are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6"/>
        <w:gridCol w:w="3782"/>
        <w:gridCol w:w="1095"/>
        <w:gridCol w:w="1764"/>
        <w:gridCol w:w="1650"/>
      </w:tblGrid>
      <w:tr w:rsidR="00773719" w:rsidRPr="005C079F" w14:paraId="1273E3F2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25E5B3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EA1025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7A28B2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77F28F" w14:textId="50EDEBB0" w:rsidR="00773719" w:rsidRPr="005C079F" w:rsidRDefault="00860ECE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2023 Results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A10CC6" w14:textId="366ABA1F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2024</w:t>
            </w:r>
            <w:r w:rsidR="00860ECE" w:rsidRPr="005C079F">
              <w:rPr>
                <w:rFonts w:ascii="Arial" w:hAnsi="Arial" w:cs="Arial"/>
                <w:color w:val="010000"/>
                <w:sz w:val="20"/>
              </w:rPr>
              <w:t xml:space="preserve"> Plan</w:t>
            </w:r>
          </w:p>
        </w:tc>
      </w:tr>
      <w:tr w:rsidR="00773719" w:rsidRPr="005C079F" w14:paraId="17BAC545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C707E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44061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Transport output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D6A254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M3.km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1E603C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66,860,069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5EB10B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75,650,000</w:t>
            </w:r>
          </w:p>
        </w:tc>
      </w:tr>
      <w:tr w:rsidR="00773719" w:rsidRPr="005C079F" w14:paraId="277D198C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2EAC79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9B97F0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Petroleum sales volume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20C74D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M3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8AAB24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31,782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D45993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30,350</w:t>
            </w:r>
          </w:p>
        </w:tc>
      </w:tr>
      <w:tr w:rsidR="00773719" w:rsidRPr="005C079F" w14:paraId="282C7F6D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49CBBC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19946E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603573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VND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EF4F6C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736,693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C6C97D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731,660</w:t>
            </w:r>
          </w:p>
        </w:tc>
      </w:tr>
      <w:tr w:rsidR="00773719" w:rsidRPr="005C079F" w14:paraId="364D14DB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214938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02D444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961642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VND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E0CF00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3,953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71F191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4,800</w:t>
            </w:r>
          </w:p>
        </w:tc>
      </w:tr>
      <w:tr w:rsidR="00773719" w:rsidRPr="005C079F" w14:paraId="5019F04F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25E37C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4E24A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BA0D59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VND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9EC85A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3,090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79074D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3,800</w:t>
            </w:r>
          </w:p>
        </w:tc>
      </w:tr>
      <w:tr w:rsidR="00773719" w:rsidRPr="005C079F" w14:paraId="0013691E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24F0A7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0E400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Dividend payment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A7A9B9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26C9E4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1C05B2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</w:tr>
      <w:tr w:rsidR="00773719" w:rsidRPr="005C079F" w14:paraId="006346A0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B44326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80B278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Payables to the State budget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4B666D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VND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A53A23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8,914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B4490C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8,750</w:t>
            </w:r>
          </w:p>
        </w:tc>
      </w:tr>
      <w:tr w:rsidR="00773719" w:rsidRPr="005C079F" w14:paraId="524DDFE4" w14:textId="77777777" w:rsidTr="00CD4407">
        <w:tc>
          <w:tcPr>
            <w:tcW w:w="4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9925DD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0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4E82E7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Total investment value in the period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00A446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proofErr w:type="spellStart"/>
            <w:r w:rsidRPr="005C079F">
              <w:rPr>
                <w:rFonts w:ascii="Arial" w:hAnsi="Arial" w:cs="Arial"/>
                <w:color w:val="010000"/>
                <w:sz w:val="20"/>
              </w:rPr>
              <w:t>VND</w:t>
            </w:r>
            <w:proofErr w:type="spellEnd"/>
          </w:p>
        </w:tc>
        <w:tc>
          <w:tcPr>
            <w:tcW w:w="9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AAC86E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23,261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D7E3E1" w14:textId="77777777" w:rsidR="00773719" w:rsidRPr="005C079F" w:rsidRDefault="00CD4407" w:rsidP="00CD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C079F">
              <w:rPr>
                <w:rFonts w:ascii="Arial" w:hAnsi="Arial" w:cs="Arial"/>
                <w:color w:val="010000"/>
                <w:sz w:val="20"/>
              </w:rPr>
              <w:t>14,880</w:t>
            </w:r>
          </w:p>
        </w:tc>
      </w:tr>
    </w:tbl>
    <w:p w14:paraId="10930DAB" w14:textId="475D62F6" w:rsidR="00773719" w:rsidRPr="005C079F" w:rsidRDefault="00CD4407" w:rsidP="00CD44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In case the investment value increases compared to the plan, the </w:t>
      </w:r>
      <w:r w:rsidR="005C079F" w:rsidRPr="005C079F">
        <w:rPr>
          <w:rFonts w:ascii="Arial" w:hAnsi="Arial" w:cs="Arial"/>
          <w:color w:val="010000"/>
          <w:sz w:val="20"/>
        </w:rPr>
        <w:t xml:space="preserve">Annual General Meeting of Shareholders </w:t>
      </w:r>
      <w:r w:rsidRPr="005C079F">
        <w:rPr>
          <w:rFonts w:ascii="Arial" w:hAnsi="Arial" w:cs="Arial"/>
          <w:color w:val="010000"/>
          <w:sz w:val="20"/>
        </w:rPr>
        <w:t>authorizes the Board of Directors of the Company to carry out the procedures to report to the Corporation for approval of the policy before implementation.</w:t>
      </w:r>
    </w:p>
    <w:p w14:paraId="74800972" w14:textId="77777777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Report on activities of the Supervisory Board in 2023.</w:t>
      </w:r>
    </w:p>
    <w:p w14:paraId="6EF760AF" w14:textId="7870B57F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Proposal on the selection of </w:t>
      </w:r>
      <w:r w:rsidR="005C079F" w:rsidRPr="005C079F">
        <w:rPr>
          <w:rFonts w:ascii="Arial" w:hAnsi="Arial" w:cs="Arial"/>
          <w:color w:val="010000"/>
          <w:sz w:val="20"/>
        </w:rPr>
        <w:t xml:space="preserve">an </w:t>
      </w:r>
      <w:r w:rsidRPr="005C079F">
        <w:rPr>
          <w:rFonts w:ascii="Arial" w:hAnsi="Arial" w:cs="Arial"/>
          <w:color w:val="010000"/>
          <w:sz w:val="20"/>
        </w:rPr>
        <w:t xml:space="preserve">audit company for the </w:t>
      </w:r>
      <w:r w:rsidR="005C079F" w:rsidRPr="005C079F">
        <w:rPr>
          <w:rFonts w:ascii="Arial" w:hAnsi="Arial" w:cs="Arial"/>
          <w:color w:val="010000"/>
          <w:sz w:val="20"/>
        </w:rPr>
        <w:t>Financial Statements</w:t>
      </w:r>
      <w:r w:rsidRPr="005C079F">
        <w:rPr>
          <w:rFonts w:ascii="Arial" w:hAnsi="Arial" w:cs="Arial"/>
          <w:color w:val="010000"/>
          <w:sz w:val="20"/>
        </w:rPr>
        <w:t xml:space="preserve"> of 2024. </w:t>
      </w:r>
    </w:p>
    <w:p w14:paraId="23450699" w14:textId="0479C97B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</w:t>
      </w:r>
      <w:r w:rsidR="005C079F" w:rsidRPr="005C079F">
        <w:rPr>
          <w:rFonts w:ascii="Arial" w:hAnsi="Arial" w:cs="Arial"/>
          <w:color w:val="010000"/>
          <w:sz w:val="20"/>
        </w:rPr>
        <w:t>Audited Financial Statements</w:t>
      </w:r>
      <w:r w:rsidRPr="005C079F">
        <w:rPr>
          <w:rFonts w:ascii="Arial" w:hAnsi="Arial" w:cs="Arial"/>
          <w:color w:val="010000"/>
          <w:sz w:val="20"/>
        </w:rPr>
        <w:t xml:space="preserve"> of 2023 and the profit distribution plan in 2023</w:t>
      </w:r>
      <w:r w:rsidR="005C079F" w:rsidRPr="005C079F">
        <w:rPr>
          <w:rFonts w:ascii="Arial" w:hAnsi="Arial" w:cs="Arial"/>
          <w:color w:val="010000"/>
          <w:sz w:val="20"/>
        </w:rPr>
        <w:t>.</w:t>
      </w:r>
      <w:r w:rsidRPr="005C079F">
        <w:rPr>
          <w:rFonts w:ascii="Arial" w:hAnsi="Arial" w:cs="Arial"/>
          <w:color w:val="010000"/>
          <w:sz w:val="20"/>
        </w:rPr>
        <w:t xml:space="preserve"> </w:t>
      </w:r>
      <w:r w:rsidR="005C079F" w:rsidRPr="005C079F">
        <w:rPr>
          <w:rFonts w:ascii="Arial" w:hAnsi="Arial" w:cs="Arial"/>
          <w:color w:val="010000"/>
          <w:sz w:val="20"/>
        </w:rPr>
        <w:t>In which, pay</w:t>
      </w:r>
      <w:r w:rsidRPr="005C079F">
        <w:rPr>
          <w:rFonts w:ascii="Arial" w:hAnsi="Arial" w:cs="Arial"/>
          <w:color w:val="010000"/>
          <w:sz w:val="20"/>
        </w:rPr>
        <w:t xml:space="preserve"> dividend</w:t>
      </w:r>
      <w:r w:rsidR="005C079F" w:rsidRPr="005C079F">
        <w:rPr>
          <w:rFonts w:ascii="Arial" w:hAnsi="Arial" w:cs="Arial"/>
          <w:color w:val="010000"/>
          <w:sz w:val="20"/>
        </w:rPr>
        <w:t>s</w:t>
      </w:r>
      <w:r w:rsidRPr="005C079F">
        <w:rPr>
          <w:rFonts w:ascii="Arial" w:hAnsi="Arial" w:cs="Arial"/>
          <w:color w:val="010000"/>
          <w:sz w:val="20"/>
        </w:rPr>
        <w:t xml:space="preserve"> in 2023 at 7% in cash.</w:t>
      </w:r>
    </w:p>
    <w:p w14:paraId="2A1ADA26" w14:textId="77777777" w:rsidR="00773719" w:rsidRPr="005C079F" w:rsidRDefault="00CD4407" w:rsidP="00CD4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Specific distribution figures are as follows:</w:t>
      </w:r>
    </w:p>
    <w:p w14:paraId="632FB0FB" w14:textId="77777777" w:rsidR="00773719" w:rsidRPr="005C079F" w:rsidRDefault="00CD4407" w:rsidP="00CD44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Total profit after tax: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3,090,907,841</w:t>
      </w:r>
    </w:p>
    <w:p w14:paraId="37A56A78" w14:textId="77777777" w:rsidR="00773719" w:rsidRPr="005C079F" w:rsidRDefault="00CD4407" w:rsidP="00CD44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Profit distribution</w:t>
      </w:r>
    </w:p>
    <w:p w14:paraId="5FF25CE7" w14:textId="77777777" w:rsidR="00773719" w:rsidRPr="005C079F" w:rsidRDefault="00CD4407" w:rsidP="00CD440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Annual dividend payout</w:t>
      </w:r>
    </w:p>
    <w:p w14:paraId="6FE2E58D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dividend payment in 2023 is 7% in cash, the total dividend payment is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2,452,214,800 (owners of 01 share will receive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700).</w:t>
      </w:r>
      <w:r w:rsidRPr="005C079F">
        <w:rPr>
          <w:rFonts w:ascii="Arial" w:hAnsi="Arial" w:cs="Arial"/>
          <w:color w:val="010000"/>
          <w:sz w:val="20"/>
        </w:rPr>
        <w:cr/>
      </w:r>
      <w:r w:rsidRPr="005C079F">
        <w:rPr>
          <w:rFonts w:ascii="Arial" w:hAnsi="Arial" w:cs="Arial"/>
          <w:color w:val="010000"/>
          <w:sz w:val="20"/>
        </w:rPr>
        <w:br/>
      </w:r>
    </w:p>
    <w:p w14:paraId="6E8D580B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lastRenderedPageBreak/>
        <w:t xml:space="preserve">Cash dividend implementation 2023 period: </w:t>
      </w:r>
      <w:proofErr w:type="spellStart"/>
      <w:r w:rsidRPr="005C079F">
        <w:rPr>
          <w:rFonts w:ascii="Arial" w:hAnsi="Arial" w:cs="Arial"/>
          <w:color w:val="010000"/>
          <w:sz w:val="20"/>
        </w:rPr>
        <w:t>Q2</w:t>
      </w:r>
      <w:proofErr w:type="spellEnd"/>
      <w:r w:rsidRPr="005C079F">
        <w:rPr>
          <w:rFonts w:ascii="Arial" w:hAnsi="Arial" w:cs="Arial"/>
          <w:color w:val="010000"/>
          <w:sz w:val="20"/>
        </w:rPr>
        <w:t>/2024</w:t>
      </w:r>
    </w:p>
    <w:p w14:paraId="3F7787B8" w14:textId="693F2908" w:rsidR="00773719" w:rsidRPr="005C079F" w:rsidRDefault="005C079F" w:rsidP="00CD440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Appropriation for</w:t>
      </w:r>
      <w:r w:rsidR="00CD4407" w:rsidRPr="005C079F">
        <w:rPr>
          <w:rFonts w:ascii="Arial" w:hAnsi="Arial" w:cs="Arial"/>
          <w:color w:val="010000"/>
          <w:sz w:val="20"/>
        </w:rPr>
        <w:t xml:space="preserve"> funds:</w:t>
      </w:r>
    </w:p>
    <w:p w14:paraId="679E8312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Appropriation for Bonus and welfare fund: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179,399,441</w:t>
      </w:r>
    </w:p>
    <w:p w14:paraId="47173297" w14:textId="77777777" w:rsidR="00773719" w:rsidRPr="005C079F" w:rsidRDefault="00CD4407" w:rsidP="00CD44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In which:</w:t>
      </w:r>
    </w:p>
    <w:p w14:paraId="5FFC97A8" w14:textId="77777777" w:rsidR="00773719" w:rsidRPr="005C079F" w:rsidRDefault="00CD4407" w:rsidP="00CD44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323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Bonus fund: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100,000,000</w:t>
      </w:r>
    </w:p>
    <w:p w14:paraId="7852E8D6" w14:textId="77777777" w:rsidR="00773719" w:rsidRPr="005C079F" w:rsidRDefault="00CD4407" w:rsidP="00CD44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323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Welfare fund: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79,399,441</w:t>
      </w:r>
    </w:p>
    <w:p w14:paraId="1FBB4DA9" w14:textId="3964310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Company Manager Bonus Fund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459,293,600 (bonus equal to 1.5 </w:t>
      </w:r>
      <w:proofErr w:type="spellStart"/>
      <w:r w:rsidRPr="005C079F">
        <w:rPr>
          <w:rFonts w:ascii="Arial" w:hAnsi="Arial" w:cs="Arial"/>
          <w:color w:val="010000"/>
          <w:sz w:val="20"/>
        </w:rPr>
        <w:t>months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salary/remuneration of </w:t>
      </w:r>
      <w:r w:rsidR="005C079F" w:rsidRPr="005C079F">
        <w:rPr>
          <w:rFonts w:ascii="Arial" w:hAnsi="Arial" w:cs="Arial"/>
          <w:color w:val="010000"/>
          <w:sz w:val="20"/>
        </w:rPr>
        <w:t>managers</w:t>
      </w:r>
      <w:r w:rsidRPr="005C079F">
        <w:rPr>
          <w:rFonts w:ascii="Arial" w:hAnsi="Arial" w:cs="Arial"/>
          <w:color w:val="010000"/>
          <w:sz w:val="20"/>
        </w:rPr>
        <w:t xml:space="preserve"> according to the attached list)</w:t>
      </w:r>
    </w:p>
    <w:p w14:paraId="6F9EFFDE" w14:textId="77777777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Report on salary and remuneration finalization of members of the Board of Directors, members of the Supervisory Board and Company Managers 2023, in which:</w:t>
      </w:r>
    </w:p>
    <w:p w14:paraId="41CADFAF" w14:textId="74264632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total salary of </w:t>
      </w:r>
      <w:r w:rsidR="005C079F" w:rsidRPr="005C079F">
        <w:rPr>
          <w:rFonts w:ascii="Arial" w:hAnsi="Arial" w:cs="Arial"/>
          <w:color w:val="010000"/>
          <w:sz w:val="20"/>
        </w:rPr>
        <w:t>m</w:t>
      </w:r>
      <w:r w:rsidRPr="005C079F">
        <w:rPr>
          <w:rFonts w:ascii="Arial" w:hAnsi="Arial" w:cs="Arial"/>
          <w:color w:val="010000"/>
          <w:sz w:val="20"/>
        </w:rPr>
        <w:t>anager</w:t>
      </w:r>
      <w:r w:rsidR="005C079F" w:rsidRPr="005C079F">
        <w:rPr>
          <w:rFonts w:ascii="Arial" w:hAnsi="Arial" w:cs="Arial"/>
          <w:color w:val="010000"/>
          <w:sz w:val="20"/>
        </w:rPr>
        <w:t>s</w:t>
      </w:r>
      <w:r w:rsidRPr="005C079F">
        <w:rPr>
          <w:rFonts w:ascii="Arial" w:hAnsi="Arial" w:cs="Arial"/>
          <w:color w:val="010000"/>
          <w:sz w:val="20"/>
        </w:rPr>
        <w:t xml:space="preserve"> (Chair of the Board of Directors, Board of Managers, </w:t>
      </w:r>
      <w:r w:rsidR="005C079F" w:rsidRPr="005C079F">
        <w:rPr>
          <w:rFonts w:ascii="Arial" w:hAnsi="Arial" w:cs="Arial"/>
          <w:color w:val="010000"/>
          <w:sz w:val="20"/>
        </w:rPr>
        <w:t>Chief Accountant</w:t>
      </w:r>
      <w:r w:rsidRPr="005C079F">
        <w:rPr>
          <w:rFonts w:ascii="Arial" w:hAnsi="Arial" w:cs="Arial"/>
          <w:color w:val="010000"/>
          <w:sz w:val="20"/>
        </w:rPr>
        <w:t xml:space="preserve">, Chief of the Supervisory Board) is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3,344,304,240.</w:t>
      </w:r>
    </w:p>
    <w:p w14:paraId="1EF4161E" w14:textId="326245AD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total remuneration of non-executive </w:t>
      </w:r>
      <w:r w:rsidR="005C079F" w:rsidRPr="005C079F">
        <w:rPr>
          <w:rFonts w:ascii="Arial" w:hAnsi="Arial" w:cs="Arial"/>
          <w:color w:val="010000"/>
          <w:sz w:val="20"/>
        </w:rPr>
        <w:t>members</w:t>
      </w:r>
      <w:r w:rsidRPr="005C079F">
        <w:rPr>
          <w:rFonts w:ascii="Arial" w:hAnsi="Arial" w:cs="Arial"/>
          <w:color w:val="010000"/>
          <w:sz w:val="20"/>
        </w:rPr>
        <w:t xml:space="preserve"> of the Board of Directors and non-executive </w:t>
      </w:r>
      <w:r w:rsidR="005C079F" w:rsidRPr="005C079F">
        <w:rPr>
          <w:rFonts w:ascii="Arial" w:hAnsi="Arial" w:cs="Arial"/>
          <w:color w:val="010000"/>
          <w:sz w:val="20"/>
        </w:rPr>
        <w:t>members</w:t>
      </w:r>
      <w:r w:rsidRPr="005C079F">
        <w:rPr>
          <w:rFonts w:ascii="Arial" w:hAnsi="Arial" w:cs="Arial"/>
          <w:color w:val="010000"/>
          <w:sz w:val="20"/>
        </w:rPr>
        <w:t xml:space="preserve"> of the Supervisory Board is: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330,044,544.</w:t>
      </w:r>
    </w:p>
    <w:p w14:paraId="150132B3" w14:textId="77777777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Plan on salary and remuneration fund of members of the Board of Directors, members of the Supervisory Board and Company Manager 2024; where:</w:t>
      </w:r>
    </w:p>
    <w:p w14:paraId="6A02C089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total salary fund of the Manager (Chair of the Board of Directors, Board of Managers, Chief Accountant, Chief of the Supervisory Board) is expected to be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3,510,243,000.</w:t>
      </w:r>
    </w:p>
    <w:p w14:paraId="06A13ADD" w14:textId="20A236DC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2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The total remuneration of non-executive member</w:t>
      </w:r>
      <w:r w:rsidR="005C079F" w:rsidRPr="005C079F">
        <w:rPr>
          <w:rFonts w:ascii="Arial" w:hAnsi="Arial" w:cs="Arial"/>
          <w:color w:val="010000"/>
          <w:sz w:val="20"/>
        </w:rPr>
        <w:t>s</w:t>
      </w:r>
      <w:r w:rsidRPr="005C079F">
        <w:rPr>
          <w:rFonts w:ascii="Arial" w:hAnsi="Arial" w:cs="Arial"/>
          <w:color w:val="010000"/>
          <w:sz w:val="20"/>
        </w:rPr>
        <w:t xml:space="preserve"> of the Board of Directors and non-executive member</w:t>
      </w:r>
      <w:r w:rsidR="005C079F" w:rsidRPr="005C079F">
        <w:rPr>
          <w:rFonts w:ascii="Arial" w:hAnsi="Arial" w:cs="Arial"/>
          <w:color w:val="010000"/>
          <w:sz w:val="20"/>
        </w:rPr>
        <w:t>s</w:t>
      </w:r>
      <w:r w:rsidRPr="005C079F">
        <w:rPr>
          <w:rFonts w:ascii="Arial" w:hAnsi="Arial" w:cs="Arial"/>
          <w:color w:val="010000"/>
          <w:sz w:val="20"/>
        </w:rPr>
        <w:t xml:space="preserve"> of the Supervisory Board is expected to be: </w:t>
      </w:r>
      <w:proofErr w:type="spellStart"/>
      <w:r w:rsidRPr="005C079F">
        <w:rPr>
          <w:rFonts w:ascii="Arial" w:hAnsi="Arial" w:cs="Arial"/>
          <w:color w:val="010000"/>
          <w:sz w:val="20"/>
        </w:rPr>
        <w:t>VND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346,420,800.</w:t>
      </w:r>
    </w:p>
    <w:p w14:paraId="725BE3C2" w14:textId="0A1F485A" w:rsidR="00773719" w:rsidRPr="005C079F" w:rsidRDefault="00CD4407" w:rsidP="00CD44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Plan to select an audit </w:t>
      </w:r>
      <w:r w:rsidR="005C079F" w:rsidRPr="005C079F">
        <w:rPr>
          <w:rFonts w:ascii="Arial" w:hAnsi="Arial" w:cs="Arial"/>
          <w:color w:val="010000"/>
          <w:sz w:val="20"/>
        </w:rPr>
        <w:t>company</w:t>
      </w:r>
      <w:r w:rsidRPr="005C079F">
        <w:rPr>
          <w:rFonts w:ascii="Arial" w:hAnsi="Arial" w:cs="Arial"/>
          <w:color w:val="010000"/>
          <w:sz w:val="20"/>
        </w:rPr>
        <w:t xml:space="preserve"> for </w:t>
      </w:r>
      <w:r w:rsidR="005C079F" w:rsidRPr="005C079F">
        <w:rPr>
          <w:rFonts w:ascii="Arial" w:hAnsi="Arial" w:cs="Arial"/>
          <w:color w:val="010000"/>
          <w:sz w:val="20"/>
        </w:rPr>
        <w:t>the Financial Statements</w:t>
      </w:r>
      <w:r w:rsidRPr="005C079F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5C079F">
        <w:rPr>
          <w:rFonts w:ascii="Arial" w:hAnsi="Arial" w:cs="Arial"/>
          <w:color w:val="010000"/>
          <w:sz w:val="20"/>
        </w:rPr>
        <w:t>PTS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Ha </w:t>
      </w:r>
      <w:proofErr w:type="spellStart"/>
      <w:r w:rsidRPr="005C079F">
        <w:rPr>
          <w:rFonts w:ascii="Arial" w:hAnsi="Arial" w:cs="Arial"/>
          <w:color w:val="010000"/>
          <w:sz w:val="20"/>
        </w:rPr>
        <w:t>Tay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Company in 2024.</w:t>
      </w:r>
      <w:r w:rsidRPr="005C079F">
        <w:rPr>
          <w:rFonts w:ascii="Arial" w:hAnsi="Arial" w:cs="Arial"/>
          <w:color w:val="010000"/>
          <w:sz w:val="20"/>
        </w:rPr>
        <w:br/>
        <w:t xml:space="preserve">Authorize the Board of Directors of the Company to select one of the following three units to audit </w:t>
      </w:r>
      <w:proofErr w:type="spellStart"/>
      <w:r w:rsidRPr="005C079F">
        <w:rPr>
          <w:rFonts w:ascii="Arial" w:hAnsi="Arial" w:cs="Arial"/>
          <w:color w:val="010000"/>
          <w:sz w:val="20"/>
        </w:rPr>
        <w:t>PTS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Ha </w:t>
      </w:r>
      <w:proofErr w:type="spellStart"/>
      <w:r w:rsidRPr="005C079F">
        <w:rPr>
          <w:rFonts w:ascii="Arial" w:hAnsi="Arial" w:cs="Arial"/>
          <w:color w:val="010000"/>
          <w:sz w:val="20"/>
        </w:rPr>
        <w:t>Tay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Company's </w:t>
      </w:r>
      <w:r w:rsidR="005C079F" w:rsidRPr="005C079F">
        <w:rPr>
          <w:rFonts w:ascii="Arial" w:hAnsi="Arial" w:cs="Arial"/>
          <w:color w:val="010000"/>
          <w:sz w:val="20"/>
        </w:rPr>
        <w:t>Financial Statements</w:t>
      </w:r>
      <w:r w:rsidRPr="005C079F">
        <w:rPr>
          <w:rFonts w:ascii="Arial" w:hAnsi="Arial" w:cs="Arial"/>
          <w:color w:val="010000"/>
          <w:sz w:val="20"/>
        </w:rPr>
        <w:t xml:space="preserve"> 2024:</w:t>
      </w:r>
    </w:p>
    <w:p w14:paraId="4A3D8183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An Viet Auditing Company Limited</w:t>
      </w:r>
    </w:p>
    <w:p w14:paraId="349E5821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CPA Vietnam Auditing Company Limited.</w:t>
      </w:r>
    </w:p>
    <w:p w14:paraId="39A7C627" w14:textId="77777777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r w:rsidRPr="005C079F">
        <w:rPr>
          <w:rFonts w:ascii="Arial" w:hAnsi="Arial" w:cs="Arial"/>
          <w:color w:val="010000"/>
          <w:sz w:val="20"/>
        </w:rPr>
        <w:t>AAC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Auditing and Accounting Company Limited</w:t>
      </w:r>
    </w:p>
    <w:p w14:paraId="746989AD" w14:textId="77777777" w:rsidR="00773719" w:rsidRPr="005C079F" w:rsidRDefault="00CD4407" w:rsidP="00CD44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>‎‎Article 2. Organization and Implementation:</w:t>
      </w:r>
    </w:p>
    <w:p w14:paraId="0FD3A4F1" w14:textId="5748A68E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The </w:t>
      </w:r>
      <w:r w:rsidR="005C079F" w:rsidRPr="005C079F">
        <w:rPr>
          <w:rFonts w:ascii="Arial" w:hAnsi="Arial" w:cs="Arial"/>
          <w:color w:val="010000"/>
          <w:sz w:val="20"/>
        </w:rPr>
        <w:t>General Meeting of Shareholders</w:t>
      </w:r>
      <w:r w:rsidRPr="005C079F">
        <w:rPr>
          <w:rFonts w:ascii="Arial" w:hAnsi="Arial" w:cs="Arial"/>
          <w:color w:val="010000"/>
          <w:sz w:val="20"/>
        </w:rPr>
        <w:t xml:space="preserve"> authorizes the Board of Directors of the Company to implement the contents approved by the </w:t>
      </w:r>
      <w:r w:rsidR="005C079F" w:rsidRPr="005C079F">
        <w:rPr>
          <w:rFonts w:ascii="Arial" w:hAnsi="Arial" w:cs="Arial"/>
          <w:color w:val="010000"/>
          <w:sz w:val="20"/>
        </w:rPr>
        <w:t>General Meeting of Shareholders</w:t>
      </w:r>
      <w:r w:rsidRPr="005C079F">
        <w:rPr>
          <w:rFonts w:ascii="Arial" w:hAnsi="Arial" w:cs="Arial"/>
          <w:color w:val="010000"/>
          <w:sz w:val="20"/>
        </w:rPr>
        <w:t xml:space="preserve"> in this </w:t>
      </w:r>
      <w:r w:rsidR="005C079F" w:rsidRPr="005C079F">
        <w:rPr>
          <w:rFonts w:ascii="Arial" w:hAnsi="Arial" w:cs="Arial"/>
          <w:color w:val="010000"/>
          <w:sz w:val="20"/>
        </w:rPr>
        <w:t>General Mandate</w:t>
      </w:r>
      <w:r w:rsidRPr="005C079F">
        <w:rPr>
          <w:rFonts w:ascii="Arial" w:hAnsi="Arial" w:cs="Arial"/>
          <w:color w:val="010000"/>
          <w:sz w:val="20"/>
        </w:rPr>
        <w:t>.</w:t>
      </w:r>
    </w:p>
    <w:p w14:paraId="456B6507" w14:textId="31FB609A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This </w:t>
      </w:r>
      <w:r w:rsidR="005C079F" w:rsidRPr="005C079F">
        <w:rPr>
          <w:rFonts w:ascii="Arial" w:hAnsi="Arial" w:cs="Arial"/>
          <w:color w:val="010000"/>
          <w:sz w:val="20"/>
        </w:rPr>
        <w:t xml:space="preserve">General Mandate </w:t>
      </w:r>
      <w:r w:rsidRPr="005C079F">
        <w:rPr>
          <w:rFonts w:ascii="Arial" w:hAnsi="Arial" w:cs="Arial"/>
          <w:color w:val="010000"/>
          <w:sz w:val="20"/>
        </w:rPr>
        <w:t xml:space="preserve">has been approved by the Annual </w:t>
      </w:r>
      <w:r w:rsidR="005C079F" w:rsidRPr="005C079F">
        <w:rPr>
          <w:rFonts w:ascii="Arial" w:hAnsi="Arial" w:cs="Arial"/>
          <w:color w:val="010000"/>
          <w:sz w:val="20"/>
        </w:rPr>
        <w:t>General Meeting of Shareholders</w:t>
      </w:r>
      <w:r w:rsidRPr="005C079F">
        <w:rPr>
          <w:rFonts w:ascii="Arial" w:hAnsi="Arial" w:cs="Arial"/>
          <w:color w:val="010000"/>
          <w:sz w:val="20"/>
        </w:rPr>
        <w:t xml:space="preserve"> 2024 of Ha </w:t>
      </w:r>
      <w:proofErr w:type="spellStart"/>
      <w:r w:rsidRPr="005C079F">
        <w:rPr>
          <w:rFonts w:ascii="Arial" w:hAnsi="Arial" w:cs="Arial"/>
          <w:color w:val="010000"/>
          <w:sz w:val="20"/>
        </w:rPr>
        <w:t>Tay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C079F">
        <w:rPr>
          <w:rFonts w:ascii="Arial" w:hAnsi="Arial" w:cs="Arial"/>
          <w:color w:val="010000"/>
          <w:sz w:val="20"/>
        </w:rPr>
        <w:t>Petrolimex</w:t>
      </w:r>
      <w:proofErr w:type="spellEnd"/>
      <w:r w:rsidRPr="005C079F">
        <w:rPr>
          <w:rFonts w:ascii="Arial" w:hAnsi="Arial" w:cs="Arial"/>
          <w:color w:val="010000"/>
          <w:sz w:val="20"/>
        </w:rPr>
        <w:t xml:space="preserve"> Transportation and Service Joint Stock Company and takes effect from April 10, 2024.</w:t>
      </w:r>
      <w:r w:rsidRPr="005C079F">
        <w:rPr>
          <w:rFonts w:ascii="Arial" w:hAnsi="Arial" w:cs="Arial"/>
          <w:color w:val="010000"/>
          <w:sz w:val="20"/>
        </w:rPr>
        <w:cr/>
      </w:r>
      <w:r w:rsidRPr="005C079F">
        <w:rPr>
          <w:rFonts w:ascii="Arial" w:hAnsi="Arial" w:cs="Arial"/>
          <w:color w:val="010000"/>
          <w:sz w:val="20"/>
        </w:rPr>
        <w:br/>
      </w:r>
      <w:r w:rsidRPr="005C079F">
        <w:rPr>
          <w:rFonts w:ascii="Arial" w:hAnsi="Arial" w:cs="Arial"/>
          <w:color w:val="010000"/>
          <w:sz w:val="20"/>
        </w:rPr>
        <w:cr/>
      </w:r>
    </w:p>
    <w:p w14:paraId="440F8F37" w14:textId="16DE93EE" w:rsidR="00773719" w:rsidRPr="005C079F" w:rsidRDefault="00CD4407" w:rsidP="00CD4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C079F">
        <w:rPr>
          <w:rFonts w:ascii="Arial" w:hAnsi="Arial" w:cs="Arial"/>
          <w:color w:val="010000"/>
          <w:sz w:val="20"/>
        </w:rPr>
        <w:t xml:space="preserve">All shareholders, the Board of Directors, the Board of Managers, the Supervisory Board and related organizations and individuals are responsible for implementing this </w:t>
      </w:r>
      <w:r w:rsidR="005C079F">
        <w:rPr>
          <w:rFonts w:ascii="Arial" w:hAnsi="Arial" w:cs="Arial"/>
          <w:color w:val="010000"/>
          <w:sz w:val="20"/>
        </w:rPr>
        <w:t>General Mandate</w:t>
      </w:r>
      <w:r w:rsidRPr="005C079F">
        <w:rPr>
          <w:rFonts w:ascii="Arial" w:hAnsi="Arial" w:cs="Arial"/>
          <w:color w:val="010000"/>
          <w:sz w:val="20"/>
        </w:rPr>
        <w:t>.</w:t>
      </w:r>
    </w:p>
    <w:sectPr w:rsidR="00773719" w:rsidRPr="005C079F" w:rsidSect="00CD440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E5105"/>
    <w:multiLevelType w:val="multilevel"/>
    <w:tmpl w:val="6A78DF4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7E53806"/>
    <w:multiLevelType w:val="multilevel"/>
    <w:tmpl w:val="FD4CE572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D02623"/>
    <w:multiLevelType w:val="multilevel"/>
    <w:tmpl w:val="A20C22F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3A5E5C"/>
    <w:multiLevelType w:val="multilevel"/>
    <w:tmpl w:val="87A2B4F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EE5FC6"/>
    <w:multiLevelType w:val="multilevel"/>
    <w:tmpl w:val="69B4BBB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DF0EB3"/>
    <w:multiLevelType w:val="multilevel"/>
    <w:tmpl w:val="1446FEB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9"/>
    <w:rsid w:val="005C079F"/>
    <w:rsid w:val="007602BD"/>
    <w:rsid w:val="00773719"/>
    <w:rsid w:val="00860ECE"/>
    <w:rsid w:val="00C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9A69"/>
  <w15:docId w15:val="{67D59EDA-DE47-4667-AE6B-1EE786D8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/>
      <w:strike w:val="0"/>
      <w:color w:val="AA6D7F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A6D7F"/>
      <w:sz w:val="20"/>
      <w:szCs w:val="20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left="10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left="1360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pacing w:line="233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right"/>
      <w:outlineLvl w:val="0"/>
    </w:pPr>
    <w:rPr>
      <w:rFonts w:ascii="Arial" w:eastAsia="Arial" w:hAnsi="Arial" w:cs="Arial"/>
      <w:smallCaps/>
      <w:color w:val="AA6D7F"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187" w:lineRule="auto"/>
      <w:ind w:left="1260"/>
    </w:pPr>
    <w:rPr>
      <w:rFonts w:ascii="Arial" w:eastAsia="Arial" w:hAnsi="Arial" w:cs="Arial"/>
      <w:color w:val="AA6D7F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XXr5VthKeTUvIvnT5iQ8JCddsQ==">CgMxLjA4AHIhMTN1UWNFMllsVk5lUm9SS0V4UHA0Vl8wMHZqVG9WQXk5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2024-04-17T03:35:00Z</dcterms:created>
  <dcterms:modified xsi:type="dcterms:W3CDTF">2024-04-17T03:35:00Z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8f0909be46fbb8f3b7afb328dc66ec6d6b9015f6dd8c9aa0d015687e59efdf14</vt:lpwstr>
  </property>
</Properties>
</file>