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D1CE" w14:textId="77777777" w:rsidR="006E5E77" w:rsidRPr="009E3577" w:rsidRDefault="00DE6724" w:rsidP="000C66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3577">
        <w:rPr>
          <w:rFonts w:ascii="Arial" w:hAnsi="Arial" w:cs="Arial"/>
          <w:b/>
          <w:color w:val="010000"/>
          <w:sz w:val="20"/>
        </w:rPr>
        <w:t>SDK: Annual General Mandate 2024</w:t>
      </w:r>
    </w:p>
    <w:p w14:paraId="6E5EC223" w14:textId="6E36BF76" w:rsidR="009E3577" w:rsidRPr="009E3577" w:rsidRDefault="00DE6724" w:rsidP="000C66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E3577">
        <w:rPr>
          <w:rFonts w:ascii="Arial" w:hAnsi="Arial" w:cs="Arial"/>
          <w:color w:val="010000"/>
          <w:sz w:val="20"/>
        </w:rPr>
        <w:t>On April 11, 2024, Mechanical Engineering &amp; Metallurgy Joint Stock Company announced General Mandate</w:t>
      </w:r>
      <w:r w:rsidR="009E3577" w:rsidRPr="009E3577">
        <w:rPr>
          <w:rFonts w:ascii="Arial" w:hAnsi="Arial" w:cs="Arial"/>
          <w:color w:val="010000"/>
          <w:sz w:val="20"/>
        </w:rPr>
        <w:t xml:space="preserve"> No. 01/024/SDK/DHCD</w:t>
      </w:r>
      <w:r w:rsidRPr="009E3577">
        <w:rPr>
          <w:rFonts w:ascii="Arial" w:hAnsi="Arial" w:cs="Arial"/>
          <w:color w:val="010000"/>
          <w:sz w:val="20"/>
        </w:rPr>
        <w:t xml:space="preserve"> as follows: </w:t>
      </w:r>
    </w:p>
    <w:p w14:paraId="3D9C8FB9" w14:textId="1C190049" w:rsidR="006E5E77" w:rsidRPr="009E3577" w:rsidRDefault="00DE6724" w:rsidP="000C66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Article 1: The Annual </w:t>
      </w:r>
      <w:r w:rsidR="009E3577" w:rsidRPr="009E3577">
        <w:rPr>
          <w:rFonts w:ascii="Arial" w:hAnsi="Arial" w:cs="Arial"/>
          <w:color w:val="010000"/>
          <w:sz w:val="20"/>
        </w:rPr>
        <w:t>General Meeting of Shareholders</w:t>
      </w:r>
      <w:r w:rsidRPr="009E3577">
        <w:rPr>
          <w:rFonts w:ascii="Arial" w:hAnsi="Arial" w:cs="Arial"/>
          <w:color w:val="010000"/>
          <w:sz w:val="20"/>
        </w:rPr>
        <w:t xml:space="preserve"> 2024 of Mechanical Engineering &amp; Metallurgy Joint Stock Company unanimously approved the following contents:</w:t>
      </w:r>
    </w:p>
    <w:p w14:paraId="3A42756A" w14:textId="77777777" w:rsidR="006E5E77" w:rsidRPr="009E3577" w:rsidRDefault="00DE6724" w:rsidP="000C6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The Report of the Board of Directors in 2023</w:t>
      </w:r>
    </w:p>
    <w:p w14:paraId="229F28BE" w14:textId="77777777" w:rsidR="006E5E77" w:rsidRPr="009E3577" w:rsidRDefault="00DE6724" w:rsidP="000C662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Results of production and business targets in 2023: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656"/>
        <w:gridCol w:w="2492"/>
        <w:gridCol w:w="836"/>
        <w:gridCol w:w="1288"/>
        <w:gridCol w:w="1334"/>
        <w:gridCol w:w="1272"/>
        <w:gridCol w:w="1169"/>
      </w:tblGrid>
      <w:tr w:rsidR="006E5E77" w:rsidRPr="009E3577" w14:paraId="13C29167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AD49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9ACD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7CE95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CD8E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 xml:space="preserve">2022 Results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93D20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 xml:space="preserve">2023 Results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AEB7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%</w:t>
            </w:r>
          </w:p>
          <w:p w14:paraId="2097EAD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2023/2022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996F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Compare to Plan (%)</w:t>
            </w:r>
          </w:p>
        </w:tc>
      </w:tr>
      <w:tr w:rsidR="006E5E77" w:rsidRPr="009E3577" w14:paraId="3C045FAC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0CB1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463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C5E2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Production</w:t>
            </w:r>
          </w:p>
        </w:tc>
      </w:tr>
      <w:tr w:rsidR="006E5E77" w:rsidRPr="009E3577" w14:paraId="14F132AA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7262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033E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Steel and cast iron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447E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6AC0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4,397.9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1625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3,691.6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6F52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83.94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8C16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87.90</w:t>
            </w:r>
          </w:p>
        </w:tc>
      </w:tr>
      <w:tr w:rsidR="006E5E77" w:rsidRPr="009E3577" w14:paraId="18658C69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162D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9F66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Mechanical fabrication - forging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F740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35F34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1,589.5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810E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1,384.7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C4A0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87.11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1A50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92.31</w:t>
            </w:r>
          </w:p>
        </w:tc>
      </w:tr>
      <w:tr w:rsidR="006E5E77" w:rsidRPr="009E3577" w14:paraId="63887464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863D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A5AA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Structural fabrication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4EA6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11F32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1,065.9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6C0B2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265.0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B262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24.86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2CC6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66.25</w:t>
            </w:r>
          </w:p>
        </w:tc>
      </w:tr>
      <w:tr w:rsidR="006E5E77" w:rsidRPr="009E3577" w14:paraId="7E900ED8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60C8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63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B559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Financial targets</w:t>
            </w:r>
          </w:p>
        </w:tc>
      </w:tr>
      <w:tr w:rsidR="006E5E77" w:rsidRPr="009E3577" w14:paraId="27DE32CD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6781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AF64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70AD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7960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254,920.35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4302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195,763.49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9759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76.79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0AE5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91.05</w:t>
            </w:r>
          </w:p>
        </w:tc>
      </w:tr>
      <w:tr w:rsidR="006E5E77" w:rsidRPr="009E3577" w14:paraId="7D1709DB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FB67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7E4D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2343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9F95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12,167.89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F9D3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6,650.66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FA87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54.69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DBFE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66.50</w:t>
            </w:r>
          </w:p>
        </w:tc>
      </w:tr>
      <w:tr w:rsidR="006E5E77" w:rsidRPr="009E3577" w14:paraId="1F309132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1FEB5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5522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E5BE4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827F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9,494.04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255B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5,108.63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05595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53.81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FFCC4" w14:textId="77777777" w:rsidR="006E5E77" w:rsidRPr="009E3577" w:rsidRDefault="006E5E77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E5E77" w:rsidRPr="009E3577" w14:paraId="0DD9E081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EE22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463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7252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Employees and income</w:t>
            </w:r>
          </w:p>
        </w:tc>
      </w:tr>
      <w:tr w:rsidR="006E5E77" w:rsidRPr="009E3577" w14:paraId="015C2535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6E54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398E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ECB9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50D4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217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AA00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212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9FA7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97.70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AA3D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99.53</w:t>
            </w:r>
          </w:p>
        </w:tc>
      </w:tr>
      <w:tr w:rsidR="006E5E77" w:rsidRPr="009E3577" w14:paraId="30CB839D" w14:textId="77777777" w:rsidTr="00DE6724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C1B4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F2F0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Average salary (person/month)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C5312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BBB7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15,200,000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3D3F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11,340,000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6AD3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74.61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05A78" w14:textId="77777777" w:rsidR="006E5E77" w:rsidRPr="009E3577" w:rsidRDefault="006E5E77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A84E598" w14:textId="77777777" w:rsidR="006E5E77" w:rsidRPr="009E3577" w:rsidRDefault="00DE6724" w:rsidP="00DE6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Report of the Supervisory Board in 2023; </w:t>
      </w:r>
    </w:p>
    <w:p w14:paraId="2768BD9B" w14:textId="0687DA58" w:rsidR="006E5E77" w:rsidRPr="009E3577" w:rsidRDefault="00DE6724" w:rsidP="00DE6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Proposal for approval of the Company's </w:t>
      </w:r>
      <w:r w:rsidR="009E3577" w:rsidRPr="009E3577">
        <w:rPr>
          <w:rFonts w:ascii="Arial" w:hAnsi="Arial" w:cs="Arial"/>
          <w:color w:val="010000"/>
          <w:sz w:val="20"/>
        </w:rPr>
        <w:t>Audited Financial Statements</w:t>
      </w:r>
      <w:r w:rsidRPr="009E3577">
        <w:rPr>
          <w:rFonts w:ascii="Arial" w:hAnsi="Arial" w:cs="Arial"/>
          <w:color w:val="010000"/>
          <w:sz w:val="20"/>
        </w:rPr>
        <w:t xml:space="preserve"> 2023 </w:t>
      </w:r>
    </w:p>
    <w:p w14:paraId="783E9E6D" w14:textId="77777777" w:rsidR="006E5E77" w:rsidRPr="009E3577" w:rsidRDefault="00DE6724" w:rsidP="00DE6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Distribution plan of profit after tax in 2023</w:t>
      </w: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9"/>
        <w:gridCol w:w="5521"/>
        <w:gridCol w:w="2967"/>
      </w:tblGrid>
      <w:tr w:rsidR="006E5E77" w:rsidRPr="009E3577" w14:paraId="33CE176F" w14:textId="77777777" w:rsidTr="00DE6724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0A181" w14:textId="77777777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0868A" w14:textId="77777777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2A3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6E5E77" w:rsidRPr="009E3577" w14:paraId="5485C036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5D18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4A1A1" w14:textId="77777777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The remaining profit after tax from the previous year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9790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1,614,119,823</w:t>
            </w:r>
          </w:p>
        </w:tc>
      </w:tr>
      <w:tr w:rsidR="006E5E77" w:rsidRPr="009E3577" w14:paraId="751920C4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BC550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D64E7" w14:textId="3AAD2810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Expected profit after tax 2024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4DFC4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5,108,630,285</w:t>
            </w:r>
          </w:p>
        </w:tc>
      </w:tr>
      <w:tr w:rsidR="006E5E77" w:rsidRPr="009E3577" w14:paraId="5FD15A25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AF2B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F4076" w14:textId="455BF78B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Total undistributed profit after tax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8B5C0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6,722,750,108</w:t>
            </w:r>
          </w:p>
        </w:tc>
      </w:tr>
      <w:tr w:rsidR="006E5E77" w:rsidRPr="009E3577" w14:paraId="647B711C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1DA5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A4BD6" w14:textId="77777777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Fund appropriation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C252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765,000,000</w:t>
            </w:r>
          </w:p>
        </w:tc>
      </w:tr>
      <w:tr w:rsidR="006E5E77" w:rsidRPr="009E3577" w14:paraId="50E7FBAE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34B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4.1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6E9E9" w14:textId="77777777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Company Manager Bonus Fund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872C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255,000,000</w:t>
            </w:r>
          </w:p>
        </w:tc>
      </w:tr>
      <w:tr w:rsidR="006E5E77" w:rsidRPr="009E3577" w14:paraId="702D1533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35A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B042A" w14:textId="74347C10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BA2B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153,000,000</w:t>
            </w:r>
          </w:p>
        </w:tc>
      </w:tr>
      <w:tr w:rsidR="006E5E77" w:rsidRPr="009E3577" w14:paraId="48ACEB10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3288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4.3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5DB1F" w14:textId="77777777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Bonus fund for the employees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3EA3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357,000,000</w:t>
            </w:r>
          </w:p>
        </w:tc>
      </w:tr>
      <w:tr w:rsidR="006E5E77" w:rsidRPr="009E3577" w14:paraId="463CEAE4" w14:textId="77777777" w:rsidTr="00DE6724">
        <w:tc>
          <w:tcPr>
            <w:tcW w:w="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2AFA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9C0FC" w14:textId="1C887996" w:rsidR="006E5E77" w:rsidRPr="009E3577" w:rsidRDefault="00DE6724" w:rsidP="00DE672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Retained undistributed profit</w:t>
            </w:r>
          </w:p>
        </w:tc>
        <w:tc>
          <w:tcPr>
            <w:tcW w:w="16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D4E2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5,957,750,000</w:t>
            </w:r>
          </w:p>
        </w:tc>
      </w:tr>
    </w:tbl>
    <w:p w14:paraId="2A0BFECD" w14:textId="77777777" w:rsidR="006E5E77" w:rsidRPr="009E3577" w:rsidRDefault="00DE6724" w:rsidP="00DE6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Production and business plan 2024 </w:t>
      </w:r>
    </w:p>
    <w:p w14:paraId="293ACD60" w14:textId="77777777" w:rsidR="006E5E77" w:rsidRPr="009E3577" w:rsidRDefault="00DE6724" w:rsidP="00DE67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Targets for Business and Production plan 2024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0"/>
        <w:gridCol w:w="4627"/>
        <w:gridCol w:w="1341"/>
        <w:gridCol w:w="2359"/>
      </w:tblGrid>
      <w:tr w:rsidR="006E5E77" w:rsidRPr="009E3577" w14:paraId="4BBECEBA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5999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30FA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C378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C442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6E5E77" w:rsidRPr="009E3577" w14:paraId="41DE0489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D918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3FD3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Production and consumption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5406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49612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5,600</w:t>
            </w:r>
          </w:p>
        </w:tc>
      </w:tr>
      <w:tr w:rsidR="006E5E77" w:rsidRPr="009E3577" w14:paraId="1BA838ED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0D27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848A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Steel and cast iron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8D61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AD20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3,800</w:t>
            </w:r>
          </w:p>
        </w:tc>
      </w:tr>
      <w:tr w:rsidR="006E5E77" w:rsidRPr="009E3577" w14:paraId="7DBE8310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CA28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40B5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Mechanical fabrication - forging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474A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B24C5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1,500</w:t>
            </w:r>
          </w:p>
        </w:tc>
      </w:tr>
      <w:tr w:rsidR="006E5E77" w:rsidRPr="009E3577" w14:paraId="1AE61BF0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6F36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564C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Welded structure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716E1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Ton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59C9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300</w:t>
            </w:r>
          </w:p>
        </w:tc>
      </w:tr>
      <w:tr w:rsidR="006E5E77" w:rsidRPr="009E3577" w14:paraId="2E54E893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A850E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2CC5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574B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C0ABD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190.0</w:t>
            </w:r>
          </w:p>
        </w:tc>
      </w:tr>
      <w:tr w:rsidR="006E5E77" w:rsidRPr="009E3577" w14:paraId="4F8814F2" w14:textId="77777777" w:rsidTr="00DE6724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B292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7215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64AAA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B299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6.5</w:t>
            </w:r>
          </w:p>
        </w:tc>
      </w:tr>
    </w:tbl>
    <w:p w14:paraId="3298687F" w14:textId="77777777" w:rsidR="006E5E77" w:rsidRPr="009E3577" w:rsidRDefault="00DE6724" w:rsidP="00DE6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Profit after tax distribution plan 2024</w:t>
      </w:r>
    </w:p>
    <w:p w14:paraId="1BEDAF26" w14:textId="7A17D9BF" w:rsidR="006E5E77" w:rsidRPr="009E3577" w:rsidRDefault="00DE6724" w:rsidP="00DE67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The Company's Board of Directors respectfully submits to the </w:t>
      </w:r>
      <w:r w:rsidR="009E3577" w:rsidRPr="009E3577">
        <w:rPr>
          <w:rFonts w:ascii="Arial" w:hAnsi="Arial" w:cs="Arial"/>
          <w:color w:val="010000"/>
          <w:sz w:val="20"/>
        </w:rPr>
        <w:t>General Meeting of Shareholders</w:t>
      </w:r>
      <w:r w:rsidRPr="009E3577">
        <w:rPr>
          <w:rFonts w:ascii="Arial" w:hAnsi="Arial" w:cs="Arial"/>
          <w:color w:val="010000"/>
          <w:sz w:val="20"/>
        </w:rPr>
        <w:t xml:space="preserve"> to approve the 2024 profit distribution plan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3"/>
        <w:gridCol w:w="6233"/>
        <w:gridCol w:w="2171"/>
      </w:tblGrid>
      <w:tr w:rsidR="006E5E77" w:rsidRPr="009E3577" w14:paraId="0259B644" w14:textId="77777777" w:rsidTr="009E3577">
        <w:trPr>
          <w:trHeight w:val="341"/>
        </w:trPr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5049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D1E9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C7B7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6E5E77" w:rsidRPr="009E3577" w14:paraId="785402FF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1F1F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D8C52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The remaining profit after tax from the previous year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CF79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5,957,750,108</w:t>
            </w:r>
          </w:p>
        </w:tc>
      </w:tr>
      <w:tr w:rsidR="006E5E77" w:rsidRPr="009E3577" w14:paraId="642BB5D8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3DCF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17C34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Expected profit after tax in 2024: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68367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5,200,000,000</w:t>
            </w:r>
          </w:p>
        </w:tc>
      </w:tr>
      <w:tr w:rsidR="006E5E77" w:rsidRPr="009E3577" w14:paraId="4107A79A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C1ED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83C95" w14:textId="2AD3EAF0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Total undistributed profit after tax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8DA3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11,157,750,108</w:t>
            </w:r>
          </w:p>
        </w:tc>
      </w:tr>
      <w:tr w:rsidR="006E5E77" w:rsidRPr="009E3577" w14:paraId="52CEAF44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586F3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7077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Fund appropriation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675B6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1,040,000,000</w:t>
            </w:r>
          </w:p>
        </w:tc>
      </w:tr>
      <w:tr w:rsidR="006E5E77" w:rsidRPr="009E3577" w14:paraId="60E8F932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6AFF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4.1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9CF5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Company Manager Bonus Fund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49F1C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260,000,000</w:t>
            </w:r>
          </w:p>
        </w:tc>
      </w:tr>
      <w:tr w:rsidR="006E5E77" w:rsidRPr="009E3577" w14:paraId="2DE1CA4C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CCF1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1ED6A" w14:textId="2B4F296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Welfare fund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DD498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390,000,000</w:t>
            </w:r>
          </w:p>
        </w:tc>
      </w:tr>
      <w:tr w:rsidR="006E5E77" w:rsidRPr="009E3577" w14:paraId="4E973769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AA1D9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lastRenderedPageBreak/>
              <w:t>4.3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FCC4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Bonus fund for the employees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DE1AB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390,000,000</w:t>
            </w:r>
          </w:p>
        </w:tc>
      </w:tr>
      <w:tr w:rsidR="006E5E77" w:rsidRPr="009E3577" w14:paraId="326A33C0" w14:textId="77777777" w:rsidTr="00DE6724"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58C44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2CD5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Retained undistributed profit: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D5F9F" w14:textId="77777777" w:rsidR="006E5E77" w:rsidRPr="009E3577" w:rsidRDefault="00DE6724" w:rsidP="00DE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3577">
              <w:rPr>
                <w:rFonts w:ascii="Arial" w:hAnsi="Arial" w:cs="Arial"/>
                <w:color w:val="010000"/>
                <w:sz w:val="20"/>
              </w:rPr>
              <w:t>10,117,750,108</w:t>
            </w:r>
          </w:p>
        </w:tc>
      </w:tr>
    </w:tbl>
    <w:p w14:paraId="2F501030" w14:textId="77777777" w:rsidR="006E5E77" w:rsidRPr="009E3577" w:rsidRDefault="00DE6724" w:rsidP="00A6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Remuneration of the Board of Directors and Supervisory Board in 2023 and remuneration plan for the Board of Directors and Supervisory Board in 2024</w:t>
      </w:r>
    </w:p>
    <w:p w14:paraId="2D89C732" w14:textId="1CEA007A" w:rsidR="006E5E77" w:rsidRPr="009E3577" w:rsidRDefault="00DE6724" w:rsidP="00A6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The selection of an </w:t>
      </w:r>
      <w:r w:rsidR="009E3577" w:rsidRPr="009E3577">
        <w:rPr>
          <w:rFonts w:ascii="Arial" w:hAnsi="Arial" w:cs="Arial"/>
          <w:color w:val="010000"/>
          <w:sz w:val="20"/>
        </w:rPr>
        <w:t>audit company</w:t>
      </w:r>
      <w:r w:rsidRPr="009E3577">
        <w:rPr>
          <w:rFonts w:ascii="Arial" w:hAnsi="Arial" w:cs="Arial"/>
          <w:color w:val="010000"/>
          <w:sz w:val="20"/>
        </w:rPr>
        <w:t xml:space="preserve"> for the </w:t>
      </w:r>
      <w:r w:rsidR="009E3577" w:rsidRPr="009E3577">
        <w:rPr>
          <w:rFonts w:ascii="Arial" w:hAnsi="Arial" w:cs="Arial"/>
          <w:color w:val="010000"/>
          <w:sz w:val="20"/>
        </w:rPr>
        <w:t>Financial Statements</w:t>
      </w:r>
      <w:r w:rsidRPr="009E3577">
        <w:rPr>
          <w:rFonts w:ascii="Arial" w:hAnsi="Arial" w:cs="Arial"/>
          <w:color w:val="010000"/>
          <w:sz w:val="20"/>
        </w:rPr>
        <w:t xml:space="preserve"> 2024</w:t>
      </w:r>
    </w:p>
    <w:p w14:paraId="19ABA720" w14:textId="77777777" w:rsidR="006E5E77" w:rsidRPr="009E3577" w:rsidRDefault="00DE6724" w:rsidP="00A6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>Line of credit 2024</w:t>
      </w:r>
    </w:p>
    <w:p w14:paraId="693747EC" w14:textId="7610C3F6" w:rsidR="006E5E77" w:rsidRPr="009E3577" w:rsidRDefault="00DE6724" w:rsidP="00A62C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Article 2: The </w:t>
      </w:r>
      <w:r w:rsidR="009E3577" w:rsidRPr="009E3577">
        <w:rPr>
          <w:rFonts w:ascii="Arial" w:hAnsi="Arial" w:cs="Arial"/>
          <w:color w:val="010000"/>
          <w:sz w:val="20"/>
        </w:rPr>
        <w:t>General Meeting of Shareholders</w:t>
      </w:r>
      <w:r w:rsidRPr="009E3577">
        <w:rPr>
          <w:rFonts w:ascii="Arial" w:hAnsi="Arial" w:cs="Arial"/>
          <w:color w:val="010000"/>
          <w:sz w:val="20"/>
        </w:rPr>
        <w:t xml:space="preserve"> authorized the Board of Directors of the company to develop a plan to relocate the company according to the </w:t>
      </w:r>
      <w:r w:rsidR="009E3577" w:rsidRPr="009E3577">
        <w:rPr>
          <w:rFonts w:ascii="Arial" w:hAnsi="Arial" w:cs="Arial"/>
          <w:color w:val="010000"/>
          <w:sz w:val="20"/>
        </w:rPr>
        <w:t>Notice</w:t>
      </w:r>
      <w:r w:rsidRPr="009E3577">
        <w:rPr>
          <w:rFonts w:ascii="Arial" w:hAnsi="Arial" w:cs="Arial"/>
          <w:color w:val="010000"/>
          <w:sz w:val="20"/>
        </w:rPr>
        <w:t xml:space="preserve"> of Dong </w:t>
      </w:r>
      <w:proofErr w:type="spellStart"/>
      <w:r w:rsidRPr="009E3577">
        <w:rPr>
          <w:rFonts w:ascii="Arial" w:hAnsi="Arial" w:cs="Arial"/>
          <w:color w:val="010000"/>
          <w:sz w:val="20"/>
        </w:rPr>
        <w:t>Nai</w:t>
      </w:r>
      <w:proofErr w:type="spellEnd"/>
      <w:r w:rsidRPr="009E3577">
        <w:rPr>
          <w:rFonts w:ascii="Arial" w:hAnsi="Arial" w:cs="Arial"/>
          <w:color w:val="010000"/>
          <w:sz w:val="20"/>
        </w:rPr>
        <w:t xml:space="preserve"> Province to proceed with the relocation project to a new location in compliance with the procedures and regulations stipulated by the Investment Law and the company's Charter.</w:t>
      </w:r>
      <w:bookmarkStart w:id="0" w:name="_GoBack"/>
      <w:bookmarkEnd w:id="0"/>
    </w:p>
    <w:p w14:paraId="08CF05A6" w14:textId="4506B3A5" w:rsidR="006E5E77" w:rsidRPr="009E3577" w:rsidRDefault="00DE6724" w:rsidP="00A62C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Article 3: The </w:t>
      </w:r>
      <w:r w:rsidR="009E3577" w:rsidRPr="009E3577">
        <w:rPr>
          <w:rFonts w:ascii="Arial" w:hAnsi="Arial" w:cs="Arial"/>
          <w:color w:val="010000"/>
          <w:sz w:val="20"/>
        </w:rPr>
        <w:t>General Meeting of Shareholders</w:t>
      </w:r>
      <w:r w:rsidRPr="009E3577">
        <w:rPr>
          <w:rFonts w:ascii="Arial" w:hAnsi="Arial" w:cs="Arial"/>
          <w:color w:val="010000"/>
          <w:sz w:val="20"/>
        </w:rPr>
        <w:t xml:space="preserve"> authorizes the Board of Directors and Supervisory Board of Mechanical Engineering &amp; Metallurgy Joint Stock Company to organize and supervise the implementation of the General Mandate of the General Meeting.</w:t>
      </w:r>
    </w:p>
    <w:p w14:paraId="09186DC7" w14:textId="72989D82" w:rsidR="006E5E77" w:rsidRPr="009E3577" w:rsidRDefault="00DE6724" w:rsidP="00A62CE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577">
        <w:rPr>
          <w:rFonts w:ascii="Arial" w:hAnsi="Arial" w:cs="Arial"/>
          <w:color w:val="010000"/>
          <w:sz w:val="20"/>
        </w:rPr>
        <w:t xml:space="preserve">The </w:t>
      </w:r>
      <w:r w:rsidR="009E3577" w:rsidRPr="009E3577">
        <w:rPr>
          <w:rFonts w:ascii="Arial" w:hAnsi="Arial" w:cs="Arial"/>
          <w:color w:val="010000"/>
          <w:sz w:val="20"/>
        </w:rPr>
        <w:t>General Meeting of Shareholders</w:t>
      </w:r>
      <w:r w:rsidRPr="009E3577">
        <w:rPr>
          <w:rFonts w:ascii="Arial" w:hAnsi="Arial" w:cs="Arial"/>
          <w:color w:val="010000"/>
          <w:sz w:val="20"/>
        </w:rPr>
        <w:t xml:space="preserve"> 2024 approve</w:t>
      </w:r>
      <w:r w:rsidR="009E3577" w:rsidRPr="009E3577">
        <w:rPr>
          <w:rFonts w:ascii="Arial" w:hAnsi="Arial" w:cs="Arial"/>
          <w:color w:val="010000"/>
          <w:sz w:val="20"/>
        </w:rPr>
        <w:t>d</w:t>
      </w:r>
      <w:r w:rsidRPr="009E3577">
        <w:rPr>
          <w:rFonts w:ascii="Arial" w:hAnsi="Arial" w:cs="Arial"/>
          <w:color w:val="010000"/>
          <w:sz w:val="20"/>
        </w:rPr>
        <w:t xml:space="preserve"> the full General Mandate of the </w:t>
      </w:r>
      <w:r w:rsidR="009E3577" w:rsidRPr="009E3577">
        <w:rPr>
          <w:rFonts w:ascii="Arial" w:hAnsi="Arial" w:cs="Arial"/>
          <w:color w:val="010000"/>
          <w:sz w:val="20"/>
        </w:rPr>
        <w:t>General Meeting of Shareholders</w:t>
      </w:r>
      <w:r w:rsidRPr="009E3577">
        <w:rPr>
          <w:rFonts w:ascii="Arial" w:hAnsi="Arial" w:cs="Arial"/>
          <w:color w:val="010000"/>
          <w:sz w:val="20"/>
        </w:rPr>
        <w:t xml:space="preserve"> 2024 of Mechanical Engineering &amp; Metallurgy Joint Stock Company.</w:t>
      </w:r>
    </w:p>
    <w:sectPr w:rsidR="006E5E77" w:rsidRPr="009E3577" w:rsidSect="00DE67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095"/>
    <w:multiLevelType w:val="multilevel"/>
    <w:tmpl w:val="9EC092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C2B3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77"/>
    <w:rsid w:val="000C662B"/>
    <w:rsid w:val="006E5E77"/>
    <w:rsid w:val="009E3577"/>
    <w:rsid w:val="00A62CE8"/>
    <w:rsid w:val="00D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00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D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B37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C2B3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93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90" w:lineRule="auto"/>
    </w:pPr>
    <w:rPr>
      <w:rFonts w:ascii="Times New Roman" w:eastAsia="Times New Roman" w:hAnsi="Times New Roman" w:cs="Times New Roman"/>
      <w:color w:val="2C2B37"/>
    </w:rPr>
  </w:style>
  <w:style w:type="paragraph" w:customStyle="1" w:styleId="Bodytext30">
    <w:name w:val="Body text (3)"/>
    <w:basedOn w:val="Normal"/>
    <w:link w:val="Bodytext3"/>
    <w:pPr>
      <w:spacing w:line="271" w:lineRule="auto"/>
      <w:ind w:left="2000" w:hanging="620"/>
    </w:pPr>
    <w:rPr>
      <w:rFonts w:ascii="Times New Roman" w:eastAsia="Times New Roman" w:hAnsi="Times New Roman" w:cs="Times New Roman"/>
      <w:b/>
      <w:bCs/>
      <w:color w:val="2C2B37"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left="1240"/>
    </w:pPr>
    <w:rPr>
      <w:rFonts w:ascii="Arial" w:eastAsia="Arial" w:hAnsi="Arial" w:cs="Arial"/>
      <w:color w:val="2C2B37"/>
    </w:rPr>
  </w:style>
  <w:style w:type="paragraph" w:customStyle="1" w:styleId="Bodytext40">
    <w:name w:val="Body text (4)"/>
    <w:basedOn w:val="Normal"/>
    <w:link w:val="Bodytext4"/>
    <w:pPr>
      <w:spacing w:line="223" w:lineRule="auto"/>
      <w:ind w:hanging="162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A548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D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3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B37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2C2B3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93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90" w:lineRule="auto"/>
    </w:pPr>
    <w:rPr>
      <w:rFonts w:ascii="Times New Roman" w:eastAsia="Times New Roman" w:hAnsi="Times New Roman" w:cs="Times New Roman"/>
      <w:color w:val="2C2B37"/>
    </w:rPr>
  </w:style>
  <w:style w:type="paragraph" w:customStyle="1" w:styleId="Bodytext30">
    <w:name w:val="Body text (3)"/>
    <w:basedOn w:val="Normal"/>
    <w:link w:val="Bodytext3"/>
    <w:pPr>
      <w:spacing w:line="271" w:lineRule="auto"/>
      <w:ind w:left="2000" w:hanging="620"/>
    </w:pPr>
    <w:rPr>
      <w:rFonts w:ascii="Times New Roman" w:eastAsia="Times New Roman" w:hAnsi="Times New Roman" w:cs="Times New Roman"/>
      <w:b/>
      <w:bCs/>
      <w:color w:val="2C2B37"/>
      <w:sz w:val="28"/>
      <w:szCs w:val="28"/>
    </w:rPr>
  </w:style>
  <w:style w:type="paragraph" w:customStyle="1" w:styleId="Bodytext50">
    <w:name w:val="Body text (5)"/>
    <w:basedOn w:val="Normal"/>
    <w:link w:val="Bodytext5"/>
    <w:pPr>
      <w:ind w:left="1240"/>
    </w:pPr>
    <w:rPr>
      <w:rFonts w:ascii="Arial" w:eastAsia="Arial" w:hAnsi="Arial" w:cs="Arial"/>
      <w:color w:val="2C2B37"/>
    </w:rPr>
  </w:style>
  <w:style w:type="paragraph" w:customStyle="1" w:styleId="Bodytext40">
    <w:name w:val="Body text (4)"/>
    <w:basedOn w:val="Normal"/>
    <w:link w:val="Bodytext4"/>
    <w:pPr>
      <w:spacing w:line="223" w:lineRule="auto"/>
      <w:ind w:hanging="162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A548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NJzwdigUMZz8NSru0c+lN0CEoQ==">CgMxLjA4AHIhMVpuZEx2MUgzWXdocUI3YmhTdHNxemd2cnphLVB2cHVv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5</cp:revision>
  <dcterms:created xsi:type="dcterms:W3CDTF">2024-04-15T10:33:00Z</dcterms:created>
  <dcterms:modified xsi:type="dcterms:W3CDTF">2024-04-17T09:01:00Z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6bb02a6c9c7f1b1f549485f39fb85f034372aa1b0d02304c1701020a0d96fb82</vt:lpwstr>
  </property>
</Properties>
</file>