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6E6C" w14:textId="197301F5" w:rsidR="0049625C" w:rsidRPr="00A723D8" w:rsidRDefault="004E42F7" w:rsidP="009B08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723D8">
        <w:rPr>
          <w:rFonts w:ascii="Arial" w:hAnsi="Arial" w:cs="Arial"/>
          <w:b/>
          <w:color w:val="010000"/>
          <w:sz w:val="20"/>
        </w:rPr>
        <w:t>BBM: Annual General Mandate</w:t>
      </w:r>
      <w:r w:rsidR="00F815CF">
        <w:rPr>
          <w:rFonts w:ascii="Arial" w:hAnsi="Arial" w:cs="Arial"/>
          <w:b/>
          <w:color w:val="010000"/>
          <w:sz w:val="20"/>
        </w:rPr>
        <w:t xml:space="preserve"> </w:t>
      </w:r>
      <w:r w:rsidR="00392651" w:rsidRPr="00A723D8">
        <w:rPr>
          <w:rFonts w:ascii="Arial" w:hAnsi="Arial" w:cs="Arial"/>
          <w:b/>
          <w:color w:val="010000"/>
          <w:sz w:val="20"/>
        </w:rPr>
        <w:t>2024</w:t>
      </w:r>
    </w:p>
    <w:p w14:paraId="4E17E167" w14:textId="2FFCBB40" w:rsidR="0049625C" w:rsidRPr="00A723D8" w:rsidRDefault="004E42F7" w:rsidP="009B08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 xml:space="preserve">On April 12, 2024, </w:t>
      </w:r>
      <w:r w:rsidR="00392651" w:rsidRPr="00A723D8">
        <w:rPr>
          <w:rFonts w:ascii="Arial" w:hAnsi="Arial" w:cs="Arial"/>
          <w:color w:val="010000"/>
          <w:sz w:val="20"/>
        </w:rPr>
        <w:t>Ha Noi - Nam Dinh Beer Joint Stock Company</w:t>
      </w:r>
      <w:r w:rsidRPr="00A723D8">
        <w:rPr>
          <w:rFonts w:ascii="Arial" w:hAnsi="Arial" w:cs="Arial"/>
          <w:color w:val="010000"/>
          <w:sz w:val="20"/>
        </w:rPr>
        <w:t xml:space="preserve"> </w:t>
      </w:r>
      <w:r w:rsidR="00392651" w:rsidRPr="00A723D8">
        <w:rPr>
          <w:rFonts w:ascii="Arial" w:hAnsi="Arial" w:cs="Arial"/>
          <w:color w:val="010000"/>
          <w:sz w:val="20"/>
        </w:rPr>
        <w:t>announced</w:t>
      </w:r>
      <w:r w:rsidRPr="00A723D8">
        <w:rPr>
          <w:rFonts w:ascii="Arial" w:hAnsi="Arial" w:cs="Arial"/>
          <w:color w:val="010000"/>
          <w:sz w:val="20"/>
        </w:rPr>
        <w:t xml:space="preserve"> </w:t>
      </w:r>
      <w:r w:rsidR="00392651" w:rsidRPr="00A723D8">
        <w:rPr>
          <w:rFonts w:ascii="Arial" w:hAnsi="Arial" w:cs="Arial"/>
          <w:color w:val="010000"/>
          <w:sz w:val="20"/>
        </w:rPr>
        <w:t>General Mandate</w:t>
      </w:r>
      <w:r w:rsidRPr="00A723D8">
        <w:rPr>
          <w:rFonts w:ascii="Arial" w:hAnsi="Arial" w:cs="Arial"/>
          <w:color w:val="010000"/>
          <w:sz w:val="20"/>
        </w:rPr>
        <w:t xml:space="preserve"> No. 01/NQ-DHDCD-HANABECO as follows: </w:t>
      </w:r>
    </w:p>
    <w:p w14:paraId="052F00CB" w14:textId="5DB53AF2" w:rsidR="0049625C" w:rsidRPr="00A723D8" w:rsidRDefault="004E42F7" w:rsidP="009B08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 xml:space="preserve">‎‎Article 1. The General Meeting of Shareholders approved the Report of the Board of </w:t>
      </w:r>
      <w:r w:rsidR="00392651" w:rsidRPr="00A723D8">
        <w:rPr>
          <w:rFonts w:ascii="Arial" w:hAnsi="Arial" w:cs="Arial"/>
          <w:color w:val="010000"/>
          <w:sz w:val="20"/>
        </w:rPr>
        <w:t>Managers</w:t>
      </w:r>
      <w:r w:rsidRPr="00A723D8">
        <w:rPr>
          <w:rFonts w:ascii="Arial" w:hAnsi="Arial" w:cs="Arial"/>
          <w:color w:val="010000"/>
          <w:sz w:val="20"/>
        </w:rPr>
        <w:t xml:space="preserve"> to evaluate production and business activities </w:t>
      </w:r>
      <w:r w:rsidR="00392651" w:rsidRPr="00A723D8">
        <w:rPr>
          <w:rFonts w:ascii="Arial" w:hAnsi="Arial" w:cs="Arial"/>
          <w:color w:val="010000"/>
          <w:sz w:val="20"/>
        </w:rPr>
        <w:t xml:space="preserve">in </w:t>
      </w:r>
      <w:r w:rsidRPr="00A723D8">
        <w:rPr>
          <w:rFonts w:ascii="Arial" w:hAnsi="Arial" w:cs="Arial"/>
          <w:color w:val="010000"/>
          <w:sz w:val="20"/>
        </w:rPr>
        <w:t xml:space="preserve">2023 and the plan </w:t>
      </w:r>
      <w:r w:rsidR="00392651" w:rsidRPr="00A723D8">
        <w:rPr>
          <w:rFonts w:ascii="Arial" w:hAnsi="Arial" w:cs="Arial"/>
          <w:color w:val="010000"/>
          <w:sz w:val="20"/>
        </w:rPr>
        <w:t xml:space="preserve">for </w:t>
      </w:r>
      <w:r w:rsidRPr="00A723D8">
        <w:rPr>
          <w:rFonts w:ascii="Arial" w:hAnsi="Arial" w:cs="Arial"/>
          <w:color w:val="010000"/>
          <w:sz w:val="20"/>
        </w:rPr>
        <w:t>2024 as follows: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647"/>
        <w:gridCol w:w="3380"/>
      </w:tblGrid>
      <w:tr w:rsidR="0049625C" w:rsidRPr="00A723D8" w14:paraId="2288FEAE" w14:textId="77777777" w:rsidTr="004E42F7">
        <w:tc>
          <w:tcPr>
            <w:tcW w:w="500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E0D16" w14:textId="77777777" w:rsidR="0049625C" w:rsidRPr="00A723D8" w:rsidRDefault="004E42F7" w:rsidP="009B08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30j0zll"/>
            <w:bookmarkEnd w:id="0"/>
            <w:r w:rsidRPr="00A723D8">
              <w:rPr>
                <w:rFonts w:ascii="Arial" w:hAnsi="Arial" w:cs="Arial"/>
                <w:color w:val="010000"/>
                <w:sz w:val="20"/>
              </w:rPr>
              <w:t>Business results of 2023:</w:t>
            </w:r>
          </w:p>
        </w:tc>
      </w:tr>
      <w:tr w:rsidR="0049625C" w:rsidRPr="00A723D8" w14:paraId="10302417" w14:textId="77777777" w:rsidTr="004E42F7">
        <w:tc>
          <w:tcPr>
            <w:tcW w:w="31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F0C15" w14:textId="77777777" w:rsidR="0049625C" w:rsidRPr="00A723D8" w:rsidRDefault="004E42F7" w:rsidP="009B08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Total revenue:</w:t>
            </w:r>
          </w:p>
        </w:tc>
        <w:tc>
          <w:tcPr>
            <w:tcW w:w="1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F8EA4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VND 61.026 billion</w:t>
            </w:r>
          </w:p>
        </w:tc>
      </w:tr>
      <w:tr w:rsidR="0049625C" w:rsidRPr="00A723D8" w14:paraId="0B38E6FE" w14:textId="77777777" w:rsidTr="004E42F7">
        <w:tc>
          <w:tcPr>
            <w:tcW w:w="31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5393C" w14:textId="77777777" w:rsidR="0049625C" w:rsidRPr="00A723D8" w:rsidRDefault="004E42F7" w:rsidP="009B08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Profit before tax:</w:t>
            </w:r>
          </w:p>
        </w:tc>
        <w:tc>
          <w:tcPr>
            <w:tcW w:w="1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17315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VND 1.015 billion</w:t>
            </w:r>
          </w:p>
        </w:tc>
      </w:tr>
      <w:tr w:rsidR="0049625C" w:rsidRPr="00A723D8" w14:paraId="23E53DD6" w14:textId="77777777" w:rsidTr="004E42F7">
        <w:tc>
          <w:tcPr>
            <w:tcW w:w="31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24337" w14:textId="77777777" w:rsidR="0049625C" w:rsidRPr="00A723D8" w:rsidRDefault="004E42F7" w:rsidP="009B08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Profit after tax:</w:t>
            </w:r>
          </w:p>
        </w:tc>
        <w:tc>
          <w:tcPr>
            <w:tcW w:w="1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95D82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VND 0.795 billion</w:t>
            </w:r>
          </w:p>
        </w:tc>
      </w:tr>
      <w:tr w:rsidR="0049625C" w:rsidRPr="00A723D8" w14:paraId="01D259CD" w14:textId="77777777" w:rsidTr="004E42F7">
        <w:tc>
          <w:tcPr>
            <w:tcW w:w="31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20D17" w14:textId="33EF1E85" w:rsidR="0049625C" w:rsidRPr="00A723D8" w:rsidRDefault="00392651" w:rsidP="009B08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B</w:t>
            </w:r>
            <w:r w:rsidR="004E42F7" w:rsidRPr="00A723D8">
              <w:rPr>
                <w:rFonts w:ascii="Arial" w:hAnsi="Arial" w:cs="Arial"/>
                <w:color w:val="010000"/>
                <w:sz w:val="20"/>
              </w:rPr>
              <w:t>usiness plan for 2024:</w:t>
            </w:r>
          </w:p>
        </w:tc>
        <w:tc>
          <w:tcPr>
            <w:tcW w:w="1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CF6BD" w14:textId="77777777" w:rsidR="0049625C" w:rsidRPr="00A723D8" w:rsidRDefault="0049625C" w:rsidP="009B082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9625C" w:rsidRPr="00A723D8" w14:paraId="233A634F" w14:textId="77777777" w:rsidTr="004E42F7">
        <w:tc>
          <w:tcPr>
            <w:tcW w:w="31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BB63B" w14:textId="77777777" w:rsidR="0049625C" w:rsidRPr="00A723D8" w:rsidRDefault="004E42F7" w:rsidP="009B08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Total revenue:</w:t>
            </w:r>
          </w:p>
        </w:tc>
        <w:tc>
          <w:tcPr>
            <w:tcW w:w="1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AEE73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VND 65.302 billion</w:t>
            </w:r>
          </w:p>
        </w:tc>
      </w:tr>
      <w:tr w:rsidR="0049625C" w:rsidRPr="00A723D8" w14:paraId="503ED899" w14:textId="77777777" w:rsidTr="004E42F7">
        <w:tc>
          <w:tcPr>
            <w:tcW w:w="31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083A7" w14:textId="77777777" w:rsidR="0049625C" w:rsidRPr="00A723D8" w:rsidRDefault="004E42F7" w:rsidP="009B08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Profit before tax:</w:t>
            </w:r>
          </w:p>
        </w:tc>
        <w:tc>
          <w:tcPr>
            <w:tcW w:w="1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748C1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VND 0.713 billion</w:t>
            </w:r>
          </w:p>
        </w:tc>
      </w:tr>
      <w:tr w:rsidR="0049625C" w:rsidRPr="00A723D8" w14:paraId="75753793" w14:textId="77777777" w:rsidTr="004E42F7">
        <w:tc>
          <w:tcPr>
            <w:tcW w:w="31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8402C" w14:textId="77777777" w:rsidR="0049625C" w:rsidRPr="00A723D8" w:rsidRDefault="004E42F7" w:rsidP="009B08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Profit after tax:</w:t>
            </w:r>
          </w:p>
        </w:tc>
        <w:tc>
          <w:tcPr>
            <w:tcW w:w="18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2A29D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VND 0.571 billion</w:t>
            </w:r>
          </w:p>
        </w:tc>
      </w:tr>
    </w:tbl>
    <w:p w14:paraId="2CE1FABD" w14:textId="77777777" w:rsidR="0049625C" w:rsidRPr="00A723D8" w:rsidRDefault="004E42F7" w:rsidP="009B08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>‎‎Article 2. Approve the Report of the Board of Directors on the operating results in 2023 and the orientation for 2024:</w:t>
      </w:r>
    </w:p>
    <w:p w14:paraId="745CF3B5" w14:textId="1548A3ED" w:rsidR="0049625C" w:rsidRPr="00A723D8" w:rsidRDefault="004E42F7" w:rsidP="009B08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>‎‎Article 3. Approve the Report on activities of the Supervisory Board</w:t>
      </w:r>
      <w:r w:rsidR="00392651" w:rsidRPr="00A723D8">
        <w:rPr>
          <w:rFonts w:ascii="Arial" w:hAnsi="Arial" w:cs="Arial"/>
          <w:color w:val="010000"/>
          <w:sz w:val="20"/>
        </w:rPr>
        <w:t xml:space="preserve"> in</w:t>
      </w:r>
      <w:r w:rsidRPr="00A723D8">
        <w:rPr>
          <w:rFonts w:ascii="Arial" w:hAnsi="Arial" w:cs="Arial"/>
          <w:color w:val="010000"/>
          <w:sz w:val="20"/>
        </w:rPr>
        <w:t xml:space="preserve"> 2023 and plan for 2024; </w:t>
      </w:r>
    </w:p>
    <w:p w14:paraId="2CFE58CC" w14:textId="30D3CE24" w:rsidR="0049625C" w:rsidRPr="00A723D8" w:rsidRDefault="004E42F7" w:rsidP="009B08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>‎‎Article 4. Approve the Audited Financial Statement</w:t>
      </w:r>
      <w:r w:rsidR="00392651" w:rsidRPr="00A723D8">
        <w:rPr>
          <w:rFonts w:ascii="Arial" w:hAnsi="Arial" w:cs="Arial"/>
          <w:color w:val="010000"/>
          <w:sz w:val="20"/>
        </w:rPr>
        <w:t>s</w:t>
      </w:r>
      <w:r w:rsidRPr="00A723D8">
        <w:rPr>
          <w:rFonts w:ascii="Arial" w:hAnsi="Arial" w:cs="Arial"/>
          <w:color w:val="010000"/>
          <w:sz w:val="20"/>
        </w:rPr>
        <w:t xml:space="preserve"> </w:t>
      </w:r>
      <w:r w:rsidR="009B082F">
        <w:rPr>
          <w:rFonts w:ascii="Arial" w:hAnsi="Arial" w:cs="Arial"/>
          <w:color w:val="010000"/>
          <w:sz w:val="20"/>
        </w:rPr>
        <w:t xml:space="preserve">in </w:t>
      </w:r>
      <w:r w:rsidRPr="00A723D8">
        <w:rPr>
          <w:rFonts w:ascii="Arial" w:hAnsi="Arial" w:cs="Arial"/>
          <w:color w:val="010000"/>
          <w:sz w:val="20"/>
        </w:rPr>
        <w:t xml:space="preserve">2023 and the </w:t>
      </w:r>
      <w:r w:rsidR="00392651" w:rsidRPr="00A723D8">
        <w:rPr>
          <w:rFonts w:ascii="Arial" w:hAnsi="Arial" w:cs="Arial"/>
          <w:color w:val="010000"/>
          <w:sz w:val="20"/>
        </w:rPr>
        <w:t xml:space="preserve">profit </w:t>
      </w:r>
      <w:r w:rsidRPr="00A723D8">
        <w:rPr>
          <w:rFonts w:ascii="Arial" w:hAnsi="Arial" w:cs="Arial"/>
          <w:color w:val="010000"/>
          <w:sz w:val="20"/>
        </w:rPr>
        <w:t>distribution plan in 2023.</w:t>
      </w:r>
    </w:p>
    <w:p w14:paraId="6A7DCFE5" w14:textId="77777777" w:rsidR="00392651" w:rsidRPr="00A723D8" w:rsidRDefault="00392651" w:rsidP="009B0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>Dividend</w:t>
      </w:r>
      <w:r w:rsidR="004E42F7" w:rsidRPr="00A723D8">
        <w:rPr>
          <w:rFonts w:ascii="Arial" w:hAnsi="Arial" w:cs="Arial"/>
          <w:color w:val="010000"/>
          <w:sz w:val="20"/>
        </w:rPr>
        <w:t xml:space="preserve"> payment rate in 2023: 2%</w:t>
      </w:r>
    </w:p>
    <w:p w14:paraId="6F87E5C4" w14:textId="7D84CB72" w:rsidR="004E42F7" w:rsidRPr="00A723D8" w:rsidRDefault="004E42F7" w:rsidP="009B0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>Approve the plan on profit distribution 2023;</w:t>
      </w:r>
    </w:p>
    <w:p w14:paraId="4B868B89" w14:textId="77777777" w:rsidR="004E42F7" w:rsidRPr="009B082F" w:rsidRDefault="004E42F7" w:rsidP="009B082F">
      <w:pP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9B082F">
        <w:rPr>
          <w:rFonts w:ascii="Arial" w:hAnsi="Arial" w:cs="Arial"/>
          <w:i/>
          <w:color w:val="010000"/>
          <w:sz w:val="20"/>
        </w:rPr>
        <w:t>Unit: VND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621"/>
        <w:gridCol w:w="3601"/>
        <w:gridCol w:w="2644"/>
        <w:gridCol w:w="2145"/>
      </w:tblGrid>
      <w:tr w:rsidR="004E42F7" w:rsidRPr="00A723D8" w14:paraId="54F6B71B" w14:textId="77777777" w:rsidTr="00045F69">
        <w:tc>
          <w:tcPr>
            <w:tcW w:w="3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A3E003" w14:textId="77777777" w:rsidR="004E42F7" w:rsidRPr="00A723D8" w:rsidRDefault="004E42F7" w:rsidP="00045F6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D59361" w14:textId="77777777" w:rsidR="004E42F7" w:rsidRPr="00A723D8" w:rsidRDefault="004E42F7" w:rsidP="00045F6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83C43B" w14:textId="77777777" w:rsidR="004E42F7" w:rsidRPr="00A723D8" w:rsidRDefault="004E42F7" w:rsidP="00045F6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0BFD06" w14:textId="77777777" w:rsidR="004E42F7" w:rsidRPr="00A723D8" w:rsidRDefault="004E42F7" w:rsidP="00045F6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4E42F7" w:rsidRPr="00A723D8" w14:paraId="7B553D0B" w14:textId="77777777" w:rsidTr="00045F69">
        <w:tc>
          <w:tcPr>
            <w:tcW w:w="3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DB5E2E" w14:textId="77777777" w:rsidR="004E42F7" w:rsidRPr="00A723D8" w:rsidRDefault="004E42F7" w:rsidP="00045F69">
            <w:pPr>
              <w:tabs>
                <w:tab w:val="left" w:pos="432"/>
              </w:tabs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9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B8B63E" w14:textId="77777777" w:rsidR="004E42F7" w:rsidRPr="00A723D8" w:rsidRDefault="004E42F7" w:rsidP="00045F69">
            <w:pP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Total profit after tax in 2023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3456D2" w14:textId="77777777" w:rsidR="004E42F7" w:rsidRPr="00A723D8" w:rsidRDefault="004E42F7" w:rsidP="00233DD0">
            <w:pPr>
              <w:tabs>
                <w:tab w:val="left" w:pos="432"/>
              </w:tabs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795,328,589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F37827" w14:textId="77777777" w:rsidR="004E42F7" w:rsidRPr="00A723D8" w:rsidRDefault="004E42F7" w:rsidP="00045F69">
            <w:pPr>
              <w:tabs>
                <w:tab w:val="left" w:pos="432"/>
              </w:tabs>
              <w:spacing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Profit after tax on the Audited Financial Statements 2023</w:t>
            </w:r>
          </w:p>
        </w:tc>
      </w:tr>
      <w:tr w:rsidR="004E42F7" w:rsidRPr="00A723D8" w14:paraId="13380A3F" w14:textId="77777777" w:rsidTr="00045F69">
        <w:tc>
          <w:tcPr>
            <w:tcW w:w="3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13B6C6" w14:textId="77777777" w:rsidR="004E42F7" w:rsidRPr="00A723D8" w:rsidRDefault="004E42F7" w:rsidP="00045F6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9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57936F" w14:textId="77777777" w:rsidR="004E42F7" w:rsidRPr="00A723D8" w:rsidRDefault="004E42F7" w:rsidP="009B082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Profit after tax distribution in 2023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BFEA6F" w14:textId="77777777" w:rsidR="004E42F7" w:rsidRPr="00A723D8" w:rsidRDefault="004E42F7" w:rsidP="00233DD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795,328,589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916764" w14:textId="77777777" w:rsidR="004E42F7" w:rsidRPr="00A723D8" w:rsidRDefault="004E42F7" w:rsidP="009B082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4E42F7" w:rsidRPr="00A723D8" w14:paraId="61B84B8A" w14:textId="77777777" w:rsidTr="00045F69">
        <w:tc>
          <w:tcPr>
            <w:tcW w:w="3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EDDF16" w14:textId="77777777" w:rsidR="004E42F7" w:rsidRPr="00A723D8" w:rsidRDefault="004E42F7" w:rsidP="00045F6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9444C8" w14:textId="77777777" w:rsidR="004E42F7" w:rsidRPr="00A723D8" w:rsidRDefault="004E42F7" w:rsidP="009B082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1F74CF" w14:textId="77777777" w:rsidR="004E42F7" w:rsidRPr="00A723D8" w:rsidRDefault="004E42F7" w:rsidP="00233DD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300,000,000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D12654" w14:textId="77777777" w:rsidR="004E42F7" w:rsidRPr="00A723D8" w:rsidRDefault="004E42F7" w:rsidP="009B082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4E42F7" w:rsidRPr="00A723D8" w14:paraId="5426ECAD" w14:textId="77777777" w:rsidTr="00045F69">
        <w:tc>
          <w:tcPr>
            <w:tcW w:w="3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36E3F7" w14:textId="77777777" w:rsidR="004E42F7" w:rsidRPr="00A723D8" w:rsidRDefault="004E42F7" w:rsidP="00045F6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19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D47E15" w14:textId="77777777" w:rsidR="004E42F7" w:rsidRPr="00A723D8" w:rsidRDefault="004E42F7" w:rsidP="009B082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F5AF24" w14:textId="1BE7E2A9" w:rsidR="004E42F7" w:rsidRPr="00A723D8" w:rsidRDefault="004E42F7" w:rsidP="00233DD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4CC4CF" w14:textId="77777777" w:rsidR="004E42F7" w:rsidRPr="00A723D8" w:rsidRDefault="004E42F7" w:rsidP="009B082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4E42F7" w:rsidRPr="00A723D8" w14:paraId="1410870F" w14:textId="77777777" w:rsidTr="00045F69">
        <w:tc>
          <w:tcPr>
            <w:tcW w:w="3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527A84" w14:textId="77777777" w:rsidR="004E42F7" w:rsidRPr="00A723D8" w:rsidRDefault="004E42F7" w:rsidP="00045F6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19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3319B5" w14:textId="77777777" w:rsidR="004E42F7" w:rsidRPr="00A723D8" w:rsidRDefault="004E42F7" w:rsidP="009B082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Bonus and welfare fund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6E030F" w14:textId="77777777" w:rsidR="004E42F7" w:rsidRPr="00A723D8" w:rsidRDefault="004E42F7" w:rsidP="00233DD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300,000,000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7802CF" w14:textId="77777777" w:rsidR="004E42F7" w:rsidRPr="00A723D8" w:rsidRDefault="004E42F7" w:rsidP="009B082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4E42F7" w:rsidRPr="00A723D8" w14:paraId="500A41B7" w14:textId="77777777" w:rsidTr="00045F69">
        <w:tc>
          <w:tcPr>
            <w:tcW w:w="3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1A0557" w14:textId="77777777" w:rsidR="004E42F7" w:rsidRPr="00A723D8" w:rsidRDefault="004E42F7" w:rsidP="00045F6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19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4BD1F7" w14:textId="77777777" w:rsidR="004E42F7" w:rsidRPr="00A723D8" w:rsidRDefault="004E42F7" w:rsidP="009B082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Bonus fund for the Executive Board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C2D822" w14:textId="77777777" w:rsidR="004E42F7" w:rsidRPr="00A723D8" w:rsidRDefault="004E42F7" w:rsidP="00233DD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EA5D4E" w14:textId="77777777" w:rsidR="004E42F7" w:rsidRPr="00A723D8" w:rsidRDefault="004E42F7" w:rsidP="009B082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4E42F7" w:rsidRPr="00A723D8" w14:paraId="1C831C77" w14:textId="77777777" w:rsidTr="00045F69">
        <w:tc>
          <w:tcPr>
            <w:tcW w:w="3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87F527" w14:textId="77777777" w:rsidR="004E42F7" w:rsidRPr="00A723D8" w:rsidRDefault="004E42F7" w:rsidP="00045F6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1.4</w:t>
            </w:r>
          </w:p>
        </w:tc>
        <w:tc>
          <w:tcPr>
            <w:tcW w:w="19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D4B3AE" w14:textId="77777777" w:rsidR="004E42F7" w:rsidRPr="00A723D8" w:rsidRDefault="004E42F7" w:rsidP="009B082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Social welfare fund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FE043D" w14:textId="77777777" w:rsidR="004E42F7" w:rsidRPr="00A723D8" w:rsidRDefault="004E42F7" w:rsidP="00233DD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F54C76" w14:textId="77777777" w:rsidR="004E42F7" w:rsidRPr="00A723D8" w:rsidRDefault="004E42F7" w:rsidP="009B082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4E42F7" w:rsidRPr="00A723D8" w14:paraId="4C1586C1" w14:textId="77777777" w:rsidTr="00045F69">
        <w:tc>
          <w:tcPr>
            <w:tcW w:w="3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E7D3A6" w14:textId="77777777" w:rsidR="004E42F7" w:rsidRPr="00A723D8" w:rsidRDefault="004E42F7" w:rsidP="00045F6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AF8004" w14:textId="77777777" w:rsidR="004E42F7" w:rsidRPr="00A723D8" w:rsidRDefault="004E42F7" w:rsidP="009B082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 xml:space="preserve">Dividend payment for 2023 (Payment </w:t>
            </w:r>
            <w:r w:rsidRPr="00A723D8">
              <w:rPr>
                <w:rFonts w:ascii="Arial" w:hAnsi="Arial" w:cs="Arial"/>
                <w:color w:val="010000"/>
                <w:sz w:val="20"/>
              </w:rPr>
              <w:lastRenderedPageBreak/>
              <w:t>rate: 2%)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CEE4E8" w14:textId="77777777" w:rsidR="004E42F7" w:rsidRPr="00A723D8" w:rsidRDefault="004E42F7" w:rsidP="00233DD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lastRenderedPageBreak/>
              <w:t>400,000,000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306EC0" w14:textId="03EE0848" w:rsidR="004E42F7" w:rsidRPr="00A723D8" w:rsidRDefault="004E42F7" w:rsidP="00233DD0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 xml:space="preserve">The Annual General </w:t>
            </w:r>
            <w:r w:rsidRPr="00A723D8">
              <w:rPr>
                <w:rFonts w:ascii="Arial" w:hAnsi="Arial" w:cs="Arial"/>
                <w:color w:val="010000"/>
                <w:sz w:val="20"/>
              </w:rPr>
              <w:lastRenderedPageBreak/>
              <w:t xml:space="preserve">Meeting </w:t>
            </w:r>
            <w:r w:rsidR="00392651" w:rsidRPr="00A723D8">
              <w:rPr>
                <w:rFonts w:ascii="Arial" w:hAnsi="Arial" w:cs="Arial"/>
                <w:color w:val="010000"/>
                <w:sz w:val="20"/>
              </w:rPr>
              <w:t>o</w:t>
            </w:r>
            <w:r w:rsidRPr="00A723D8">
              <w:rPr>
                <w:rFonts w:ascii="Arial" w:hAnsi="Arial" w:cs="Arial"/>
                <w:color w:val="010000"/>
                <w:sz w:val="20"/>
              </w:rPr>
              <w:t xml:space="preserve">f Shareholders 2023 approved the dividend payment plan for 2023 at a rate of 2%, based on the </w:t>
            </w:r>
            <w:r w:rsidR="00233DD0">
              <w:rPr>
                <w:rFonts w:ascii="Arial" w:hAnsi="Arial" w:cs="Arial"/>
                <w:color w:val="010000"/>
                <w:sz w:val="20"/>
              </w:rPr>
              <w:t>production-business</w:t>
            </w:r>
            <w:r w:rsidRPr="00A723D8">
              <w:rPr>
                <w:rFonts w:ascii="Arial" w:hAnsi="Arial" w:cs="Arial"/>
                <w:color w:val="010000"/>
                <w:sz w:val="20"/>
              </w:rPr>
              <w:t xml:space="preserve"> result</w:t>
            </w:r>
            <w:r w:rsidR="00392651" w:rsidRPr="00A723D8">
              <w:rPr>
                <w:rFonts w:ascii="Arial" w:hAnsi="Arial" w:cs="Arial"/>
                <w:color w:val="010000"/>
                <w:sz w:val="20"/>
              </w:rPr>
              <w:t xml:space="preserve">s </w:t>
            </w:r>
            <w:r w:rsidR="00233DD0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bookmarkStart w:id="1" w:name="_GoBack"/>
            <w:bookmarkEnd w:id="1"/>
            <w:r w:rsidR="00392651" w:rsidRPr="00A723D8">
              <w:rPr>
                <w:rFonts w:ascii="Arial" w:hAnsi="Arial" w:cs="Arial"/>
                <w:color w:val="010000"/>
                <w:sz w:val="20"/>
              </w:rPr>
              <w:t>2023</w:t>
            </w:r>
            <w:r w:rsidRPr="00A723D8">
              <w:rPr>
                <w:rFonts w:ascii="Arial" w:hAnsi="Arial" w:cs="Arial"/>
                <w:color w:val="010000"/>
                <w:sz w:val="20"/>
              </w:rPr>
              <w:t xml:space="preserve">. The </w:t>
            </w:r>
            <w:r w:rsidR="00392651" w:rsidRPr="00A723D8">
              <w:rPr>
                <w:rFonts w:ascii="Arial" w:hAnsi="Arial" w:cs="Arial"/>
                <w:color w:val="010000"/>
                <w:sz w:val="20"/>
              </w:rPr>
              <w:t xml:space="preserve">Company </w:t>
            </w:r>
            <w:r w:rsidRPr="00A723D8">
              <w:rPr>
                <w:rFonts w:ascii="Arial" w:hAnsi="Arial" w:cs="Arial"/>
                <w:color w:val="010000"/>
                <w:sz w:val="20"/>
              </w:rPr>
              <w:t>will proceed to formulate and present the dividend payment plan with a rate of 2%.</w:t>
            </w:r>
          </w:p>
        </w:tc>
      </w:tr>
      <w:tr w:rsidR="004E42F7" w:rsidRPr="00A723D8" w14:paraId="1A030038" w14:textId="77777777" w:rsidTr="00045F69">
        <w:tc>
          <w:tcPr>
            <w:tcW w:w="345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DF6D22" w14:textId="77777777" w:rsidR="004E42F7" w:rsidRPr="00A723D8" w:rsidRDefault="004E42F7" w:rsidP="00045F69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99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6A9515" w14:textId="77777777" w:rsidR="004E42F7" w:rsidRPr="00A723D8" w:rsidRDefault="004E42F7" w:rsidP="009B082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Undistributed profit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E6177B" w14:textId="77777777" w:rsidR="004E42F7" w:rsidRPr="00A723D8" w:rsidRDefault="004E42F7" w:rsidP="00233DD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95,328,589</w:t>
            </w:r>
          </w:p>
        </w:tc>
        <w:tc>
          <w:tcPr>
            <w:tcW w:w="1190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1F7CC8" w14:textId="77777777" w:rsidR="004E42F7" w:rsidRPr="00A723D8" w:rsidRDefault="004E42F7" w:rsidP="009B082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</w:tbl>
    <w:p w14:paraId="2B6AD6A5" w14:textId="6F244AA9" w:rsidR="0049625C" w:rsidRPr="00A723D8" w:rsidRDefault="004E42F7" w:rsidP="009B08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 xml:space="preserve">‎‎Article 5. Approve the main business targets </w:t>
      </w:r>
      <w:r w:rsidR="00392651" w:rsidRPr="00A723D8">
        <w:rPr>
          <w:rFonts w:ascii="Arial" w:hAnsi="Arial" w:cs="Arial"/>
          <w:color w:val="010000"/>
          <w:sz w:val="20"/>
        </w:rPr>
        <w:t xml:space="preserve">for </w:t>
      </w:r>
      <w:r w:rsidRPr="00A723D8">
        <w:rPr>
          <w:rFonts w:ascii="Arial" w:hAnsi="Arial" w:cs="Arial"/>
          <w:color w:val="010000"/>
          <w:sz w:val="20"/>
        </w:rPr>
        <w:t>2024 as follows: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2"/>
        <w:gridCol w:w="4153"/>
        <w:gridCol w:w="1946"/>
        <w:gridCol w:w="2216"/>
      </w:tblGrid>
      <w:tr w:rsidR="0049625C" w:rsidRPr="00A723D8" w14:paraId="4FAB1058" w14:textId="77777777" w:rsidTr="004E42F7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943D8" w14:textId="77777777" w:rsidR="0049625C" w:rsidRPr="00A723D8" w:rsidRDefault="004E42F7" w:rsidP="009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C8F62" w14:textId="77777777" w:rsidR="0049625C" w:rsidRPr="00A723D8" w:rsidRDefault="004E42F7" w:rsidP="009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57B3E" w14:textId="77777777" w:rsidR="0049625C" w:rsidRPr="00A723D8" w:rsidRDefault="004E42F7" w:rsidP="009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Units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5CECB" w14:textId="77777777" w:rsidR="0049625C" w:rsidRPr="00A723D8" w:rsidRDefault="004E42F7" w:rsidP="009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Plan for 2024</w:t>
            </w:r>
          </w:p>
        </w:tc>
      </w:tr>
      <w:tr w:rsidR="0049625C" w:rsidRPr="00A723D8" w14:paraId="1F55DCCC" w14:textId="77777777" w:rsidTr="004E42F7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EEE8F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2E80D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CF730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3DCAD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65.302</w:t>
            </w:r>
          </w:p>
        </w:tc>
      </w:tr>
      <w:tr w:rsidR="0049625C" w:rsidRPr="00A723D8" w14:paraId="69AB5ABB" w14:textId="77777777" w:rsidTr="004E42F7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45301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11F7D" w14:textId="459684A1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 xml:space="preserve">Payable to </w:t>
            </w:r>
            <w:r w:rsidR="009E234C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A723D8">
              <w:rPr>
                <w:rFonts w:ascii="Arial" w:hAnsi="Arial" w:cs="Arial"/>
                <w:color w:val="010000"/>
                <w:sz w:val="20"/>
              </w:rPr>
              <w:t>state budget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1B4E3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51DF6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29.701</w:t>
            </w:r>
          </w:p>
        </w:tc>
      </w:tr>
      <w:tr w:rsidR="0049625C" w:rsidRPr="00A723D8" w14:paraId="311CAE52" w14:textId="77777777" w:rsidTr="004E42F7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49538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D64A7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B364F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F2DCC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0.713</w:t>
            </w:r>
          </w:p>
        </w:tc>
      </w:tr>
      <w:tr w:rsidR="0049625C" w:rsidRPr="00A723D8" w14:paraId="1D27D03A" w14:textId="77777777" w:rsidTr="004E42F7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85702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EABB0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D4F1D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0CCA6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0.571</w:t>
            </w:r>
          </w:p>
        </w:tc>
      </w:tr>
      <w:tr w:rsidR="0049625C" w:rsidRPr="00A723D8" w14:paraId="3717BBA7" w14:textId="77777777" w:rsidTr="004E42F7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C0555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55391" w14:textId="35E557C9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Dividend payment</w:t>
            </w:r>
            <w:r w:rsidR="00392651" w:rsidRPr="00A723D8">
              <w:rPr>
                <w:rFonts w:ascii="Arial" w:hAnsi="Arial" w:cs="Arial"/>
                <w:color w:val="010000"/>
                <w:sz w:val="20"/>
              </w:rPr>
              <w:t xml:space="preserve"> rate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3924E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08FC1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</w:tr>
    </w:tbl>
    <w:p w14:paraId="2486B5A9" w14:textId="65AF930D" w:rsidR="0049625C" w:rsidRPr="00A723D8" w:rsidRDefault="004E42F7" w:rsidP="009B08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>‎‎Article 6</w:t>
      </w:r>
      <w:r w:rsidR="00392651" w:rsidRPr="00A723D8">
        <w:rPr>
          <w:rFonts w:ascii="Arial" w:hAnsi="Arial" w:cs="Arial"/>
          <w:color w:val="010000"/>
          <w:sz w:val="20"/>
        </w:rPr>
        <w:t>. Approve</w:t>
      </w:r>
      <w:r w:rsidRPr="00A723D8">
        <w:rPr>
          <w:rFonts w:ascii="Arial" w:hAnsi="Arial" w:cs="Arial"/>
          <w:color w:val="010000"/>
          <w:sz w:val="20"/>
        </w:rPr>
        <w:t xml:space="preserve"> the plan on profit distribution in 2024 as follows:.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"/>
        <w:gridCol w:w="5277"/>
        <w:gridCol w:w="1980"/>
        <w:gridCol w:w="1190"/>
      </w:tblGrid>
      <w:tr w:rsidR="0049625C" w:rsidRPr="00A723D8" w14:paraId="29195DA3" w14:textId="77777777" w:rsidTr="00773419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3CC84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9BFAA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AC330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EC787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49625C" w:rsidRPr="00A723D8" w14:paraId="1DE3DA0A" w14:textId="77777777" w:rsidTr="00773419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9F6A7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2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84699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Undistributed profit in 2023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944EF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95,328,589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64723" w14:textId="77777777" w:rsidR="0049625C" w:rsidRPr="00A723D8" w:rsidRDefault="0049625C" w:rsidP="0077341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9625C" w:rsidRPr="00A723D8" w14:paraId="323AB659" w14:textId="77777777" w:rsidTr="00773419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080AF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2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58540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Total profit after tax in 2024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5D3A0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571,013,254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45FC3" w14:textId="77777777" w:rsidR="0049625C" w:rsidRPr="00A723D8" w:rsidRDefault="0049625C" w:rsidP="0077341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9625C" w:rsidRPr="00A723D8" w14:paraId="229319AB" w14:textId="77777777" w:rsidTr="00773419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24D93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2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6C0B0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Distribution of profit after tax in 2024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B1A4C" w14:textId="77777777" w:rsidR="0049625C" w:rsidRPr="00A723D8" w:rsidRDefault="0049625C" w:rsidP="0077341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CA0D6" w14:textId="77777777" w:rsidR="0049625C" w:rsidRPr="00A723D8" w:rsidRDefault="0049625C" w:rsidP="0077341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9625C" w:rsidRPr="00A723D8" w14:paraId="3D856B94" w14:textId="77777777" w:rsidTr="00773419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C8C7E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6694F" w14:textId="45570B0B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2C3A1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171,013,254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7EE15" w14:textId="77777777" w:rsidR="0049625C" w:rsidRPr="00A723D8" w:rsidRDefault="0049625C" w:rsidP="0077341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9625C" w:rsidRPr="00A723D8" w14:paraId="4F035573" w14:textId="77777777" w:rsidTr="00773419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CDF56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2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0C686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Development and investment fund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CEC2F" w14:textId="77777777" w:rsidR="0049625C" w:rsidRPr="00A723D8" w:rsidRDefault="0049625C" w:rsidP="0077341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D70F5" w14:textId="77777777" w:rsidR="0049625C" w:rsidRPr="00A723D8" w:rsidRDefault="0049625C" w:rsidP="0077341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9625C" w:rsidRPr="00A723D8" w14:paraId="17A77C3F" w14:textId="77777777" w:rsidTr="00773419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1EC93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2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DAE66" w14:textId="19456AA1" w:rsidR="0049625C" w:rsidRPr="00A723D8" w:rsidRDefault="00392651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Bonus and welfare funds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86795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171,013,254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A8184" w14:textId="77777777" w:rsidR="0049625C" w:rsidRPr="00A723D8" w:rsidRDefault="0049625C" w:rsidP="0077341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9625C" w:rsidRPr="00A723D8" w14:paraId="5FF447DC" w14:textId="77777777" w:rsidTr="00773419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647D1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2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DE8FA" w14:textId="2C2EC6B6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Bon</w:t>
            </w:r>
            <w:r w:rsidR="00773419">
              <w:rPr>
                <w:rFonts w:ascii="Arial" w:hAnsi="Arial" w:cs="Arial"/>
                <w:color w:val="010000"/>
                <w:sz w:val="20"/>
              </w:rPr>
              <w:t>us fund for the Executive Board s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FA6AC" w14:textId="77777777" w:rsidR="0049625C" w:rsidRPr="00A723D8" w:rsidRDefault="0049625C" w:rsidP="0077341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9E508" w14:textId="77777777" w:rsidR="0049625C" w:rsidRPr="00A723D8" w:rsidRDefault="0049625C" w:rsidP="0077341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9625C" w:rsidRPr="00A723D8" w14:paraId="34938B12" w14:textId="77777777" w:rsidTr="00773419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5A89A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1.4</w:t>
            </w:r>
          </w:p>
        </w:tc>
        <w:tc>
          <w:tcPr>
            <w:tcW w:w="2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1E213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Social security fund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AF3B5" w14:textId="77777777" w:rsidR="0049625C" w:rsidRPr="00A723D8" w:rsidRDefault="0049625C" w:rsidP="0077341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42385" w14:textId="77777777" w:rsidR="0049625C" w:rsidRPr="00A723D8" w:rsidRDefault="0049625C" w:rsidP="0077341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9625C" w:rsidRPr="00A723D8" w14:paraId="67FD9B28" w14:textId="77777777" w:rsidTr="00773419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AFEA5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7AFE6" w14:textId="7FC555CE" w:rsidR="0049625C" w:rsidRPr="00A723D8" w:rsidRDefault="00392651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 xml:space="preserve">Dividend </w:t>
            </w:r>
            <w:r w:rsidR="004E42F7" w:rsidRPr="00A723D8">
              <w:rPr>
                <w:rFonts w:ascii="Arial" w:hAnsi="Arial" w:cs="Arial"/>
                <w:color w:val="010000"/>
                <w:sz w:val="20"/>
              </w:rPr>
              <w:t>payment</w:t>
            </w:r>
            <w:r w:rsidRPr="00A723D8">
              <w:rPr>
                <w:rFonts w:ascii="Arial" w:hAnsi="Arial" w:cs="Arial"/>
                <w:color w:val="010000"/>
                <w:sz w:val="20"/>
              </w:rPr>
              <w:t xml:space="preserve"> in</w:t>
            </w:r>
            <w:r w:rsidR="004E42F7" w:rsidRPr="00A723D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723D8">
              <w:rPr>
                <w:rFonts w:ascii="Arial" w:hAnsi="Arial" w:cs="Arial"/>
                <w:color w:val="010000"/>
                <w:sz w:val="20"/>
              </w:rPr>
              <w:t xml:space="preserve">2024 </w:t>
            </w:r>
            <w:r w:rsidR="004E42F7" w:rsidRPr="00A723D8">
              <w:rPr>
                <w:rFonts w:ascii="Arial" w:hAnsi="Arial" w:cs="Arial"/>
                <w:color w:val="010000"/>
                <w:sz w:val="20"/>
              </w:rPr>
              <w:t>(</w:t>
            </w:r>
            <w:r w:rsidRPr="00A723D8">
              <w:rPr>
                <w:rFonts w:ascii="Arial" w:hAnsi="Arial" w:cs="Arial"/>
                <w:color w:val="010000"/>
                <w:sz w:val="20"/>
              </w:rPr>
              <w:t xml:space="preserve">payment rate: </w:t>
            </w:r>
            <w:r w:rsidR="004E42F7" w:rsidRPr="00A723D8">
              <w:rPr>
                <w:rFonts w:ascii="Arial" w:hAnsi="Arial" w:cs="Arial"/>
                <w:color w:val="010000"/>
                <w:sz w:val="20"/>
              </w:rPr>
              <w:t>2%)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3C79F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400,000,000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DFA06" w14:textId="77777777" w:rsidR="0049625C" w:rsidRPr="00A723D8" w:rsidRDefault="0049625C" w:rsidP="0077341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9625C" w:rsidRPr="00A723D8" w14:paraId="5F79B238" w14:textId="77777777" w:rsidTr="00773419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64BB7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35A76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Undistributed profit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23670" w14:textId="77777777" w:rsidR="0049625C" w:rsidRPr="00A723D8" w:rsidRDefault="004E42F7" w:rsidP="0077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95,328,589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F2ACB" w14:textId="77777777" w:rsidR="0049625C" w:rsidRPr="00A723D8" w:rsidRDefault="0049625C" w:rsidP="0077341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AB6ED94" w14:textId="19031E64" w:rsidR="0049625C" w:rsidRPr="00A723D8" w:rsidRDefault="004E42F7" w:rsidP="009B08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lastRenderedPageBreak/>
        <w:t>‎‎Article 7. Approve the remuneration settlement in 2023 and the planned salary and remuneration in 2024 for members of the Board of Directors and</w:t>
      </w:r>
      <w:r w:rsidR="00392651" w:rsidRPr="00A723D8">
        <w:rPr>
          <w:rFonts w:ascii="Arial" w:hAnsi="Arial" w:cs="Arial"/>
          <w:color w:val="010000"/>
          <w:sz w:val="20"/>
        </w:rPr>
        <w:t xml:space="preserve"> the</w:t>
      </w:r>
      <w:r w:rsidRPr="00A723D8">
        <w:rPr>
          <w:rFonts w:ascii="Arial" w:hAnsi="Arial" w:cs="Arial"/>
          <w:color w:val="010000"/>
          <w:sz w:val="20"/>
        </w:rPr>
        <w:t xml:space="preserve"> Supervisory Board.</w:t>
      </w:r>
    </w:p>
    <w:p w14:paraId="36C51B6F" w14:textId="77777777" w:rsidR="0049625C" w:rsidRPr="00A723D8" w:rsidRDefault="004E42F7" w:rsidP="009B08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>Expected remuneration of the Board of Directors and the Supervisory Board in 2023: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6"/>
        <w:gridCol w:w="5053"/>
        <w:gridCol w:w="2056"/>
        <w:gridCol w:w="1192"/>
      </w:tblGrid>
      <w:tr w:rsidR="0049625C" w:rsidRPr="00A723D8" w14:paraId="5696FB75" w14:textId="77777777" w:rsidTr="009A35E4"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A54E7" w14:textId="77777777" w:rsidR="0049625C" w:rsidRPr="00A723D8" w:rsidRDefault="004E42F7" w:rsidP="009A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80B1F" w14:textId="77777777" w:rsidR="0049625C" w:rsidRPr="00A723D8" w:rsidRDefault="004E42F7" w:rsidP="009A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Explanation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F58A3" w14:textId="77777777" w:rsidR="0049625C" w:rsidRPr="00A723D8" w:rsidRDefault="004E42F7" w:rsidP="009A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83DC8" w14:textId="77777777" w:rsidR="0049625C" w:rsidRPr="00A723D8" w:rsidRDefault="004E42F7" w:rsidP="009A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49625C" w:rsidRPr="00A723D8" w14:paraId="6489C1B3" w14:textId="77777777" w:rsidTr="009A35E4"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998E8" w14:textId="77777777" w:rsidR="0049625C" w:rsidRPr="00A723D8" w:rsidRDefault="004E42F7" w:rsidP="009A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C0194" w14:textId="69285882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 xml:space="preserve">Remuneration plan according to the </w:t>
            </w:r>
            <w:r w:rsidR="00392651" w:rsidRPr="00A723D8">
              <w:rPr>
                <w:rFonts w:ascii="Arial" w:hAnsi="Arial" w:cs="Arial"/>
                <w:color w:val="010000"/>
                <w:sz w:val="20"/>
              </w:rPr>
              <w:t>Annual General Mandate</w:t>
            </w:r>
            <w:r w:rsidRPr="00A723D8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56A00" w14:textId="77777777" w:rsidR="0049625C" w:rsidRPr="00A723D8" w:rsidRDefault="004E42F7" w:rsidP="009A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308,814,000</w:t>
            </w:r>
          </w:p>
        </w:tc>
        <w:tc>
          <w:tcPr>
            <w:tcW w:w="66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056AB" w14:textId="77777777" w:rsidR="0049625C" w:rsidRPr="00A723D8" w:rsidRDefault="0049625C" w:rsidP="009B082F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9625C" w:rsidRPr="00A723D8" w14:paraId="5715F10C" w14:textId="77777777" w:rsidTr="009A35E4"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8D93B" w14:textId="77777777" w:rsidR="0049625C" w:rsidRPr="00A723D8" w:rsidRDefault="004E42F7" w:rsidP="009A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260D0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8BDC4" w14:textId="77777777" w:rsidR="0049625C" w:rsidRPr="00A723D8" w:rsidRDefault="004E42F7" w:rsidP="009A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311,054,700</w:t>
            </w:r>
          </w:p>
        </w:tc>
        <w:tc>
          <w:tcPr>
            <w:tcW w:w="66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4D682" w14:textId="77777777" w:rsidR="0049625C" w:rsidRPr="00A723D8" w:rsidRDefault="0049625C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9625C" w:rsidRPr="00A723D8" w14:paraId="0245E7E6" w14:textId="77777777" w:rsidTr="009A35E4">
        <w:tc>
          <w:tcPr>
            <w:tcW w:w="3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D3F8F" w14:textId="77777777" w:rsidR="0049625C" w:rsidRPr="00A723D8" w:rsidRDefault="004E42F7" w:rsidP="009A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C47DD" w14:textId="77777777" w:rsidR="0049625C" w:rsidRPr="00A723D8" w:rsidRDefault="004E42F7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DA6F3" w14:textId="77777777" w:rsidR="0049625C" w:rsidRPr="00A723D8" w:rsidRDefault="004E42F7" w:rsidP="009A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723D8">
              <w:rPr>
                <w:rFonts w:ascii="Arial" w:hAnsi="Arial" w:cs="Arial"/>
                <w:color w:val="010000"/>
                <w:sz w:val="20"/>
              </w:rPr>
              <w:t>2,240,700</w:t>
            </w:r>
          </w:p>
        </w:tc>
        <w:tc>
          <w:tcPr>
            <w:tcW w:w="66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AA4EC" w14:textId="77777777" w:rsidR="0049625C" w:rsidRPr="00A723D8" w:rsidRDefault="0049625C" w:rsidP="009B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EDE2730" w14:textId="790AF304" w:rsidR="0049625C" w:rsidRPr="00A723D8" w:rsidRDefault="004E42F7" w:rsidP="009B08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>Salary, remuneration</w:t>
      </w:r>
      <w:r w:rsidR="00045F69">
        <w:rPr>
          <w:rFonts w:ascii="Arial" w:hAnsi="Arial" w:cs="Arial"/>
          <w:color w:val="010000"/>
          <w:sz w:val="20"/>
        </w:rPr>
        <w:t>,</w:t>
      </w:r>
      <w:r w:rsidRPr="00A723D8">
        <w:rPr>
          <w:rFonts w:ascii="Arial" w:hAnsi="Arial" w:cs="Arial"/>
          <w:color w:val="010000"/>
          <w:sz w:val="20"/>
        </w:rPr>
        <w:t xml:space="preserve"> and bonus plan 2024 of members of the Board of Directors and the Supervisory Board:</w:t>
      </w:r>
    </w:p>
    <w:p w14:paraId="3B9244F7" w14:textId="77777777" w:rsidR="0049625C" w:rsidRPr="00A723D8" w:rsidRDefault="004E42F7" w:rsidP="009B0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>Salary and remuneration plan:</w:t>
      </w:r>
    </w:p>
    <w:p w14:paraId="756C911E" w14:textId="604AD916" w:rsidR="0049625C" w:rsidRPr="00A723D8" w:rsidRDefault="004E42F7" w:rsidP="009B08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 xml:space="preserve">Remuneration of non-executive </w:t>
      </w:r>
      <w:r w:rsidR="00045F69">
        <w:rPr>
          <w:rFonts w:ascii="Arial" w:hAnsi="Arial" w:cs="Arial"/>
          <w:color w:val="010000"/>
          <w:sz w:val="20"/>
        </w:rPr>
        <w:t>members</w:t>
      </w:r>
      <w:r w:rsidRPr="00A723D8">
        <w:rPr>
          <w:rFonts w:ascii="Arial" w:hAnsi="Arial" w:cs="Arial"/>
          <w:color w:val="010000"/>
          <w:sz w:val="20"/>
        </w:rPr>
        <w:t xml:space="preserve"> of the Board of Directors: VND 192,000,000.</w:t>
      </w:r>
    </w:p>
    <w:p w14:paraId="6108207C" w14:textId="1C0E11B2" w:rsidR="0049625C" w:rsidRPr="00A723D8" w:rsidRDefault="004E42F7" w:rsidP="009B08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 xml:space="preserve">Remuneration of non-executive </w:t>
      </w:r>
      <w:r w:rsidR="00045F69">
        <w:rPr>
          <w:rFonts w:ascii="Arial" w:hAnsi="Arial" w:cs="Arial"/>
          <w:color w:val="010000"/>
          <w:sz w:val="20"/>
        </w:rPr>
        <w:t>members</w:t>
      </w:r>
      <w:r w:rsidRPr="00A723D8">
        <w:rPr>
          <w:rFonts w:ascii="Arial" w:hAnsi="Arial" w:cs="Arial"/>
          <w:color w:val="010000"/>
          <w:sz w:val="20"/>
        </w:rPr>
        <w:t xml:space="preserve"> of the Supervisory Board: VND 84,000,000.</w:t>
      </w:r>
    </w:p>
    <w:p w14:paraId="0FD3272A" w14:textId="77777777" w:rsidR="0049625C" w:rsidRPr="00A723D8" w:rsidRDefault="004E42F7" w:rsidP="009B08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>Total: VND 276,000,000</w:t>
      </w:r>
    </w:p>
    <w:p w14:paraId="3292423C" w14:textId="6CB0A7C9" w:rsidR="0049625C" w:rsidRPr="00A723D8" w:rsidRDefault="004E42F7" w:rsidP="009B0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 xml:space="preserve">Salaries, remuneration, </w:t>
      </w:r>
      <w:r w:rsidR="00045F69">
        <w:rPr>
          <w:rFonts w:ascii="Arial" w:hAnsi="Arial" w:cs="Arial"/>
          <w:color w:val="010000"/>
          <w:sz w:val="20"/>
        </w:rPr>
        <w:t xml:space="preserve">and </w:t>
      </w:r>
      <w:r w:rsidRPr="00A723D8">
        <w:rPr>
          <w:rFonts w:ascii="Arial" w:hAnsi="Arial" w:cs="Arial"/>
          <w:color w:val="010000"/>
          <w:sz w:val="20"/>
        </w:rPr>
        <w:t xml:space="preserve">performance bonuses: It will be settled according to the principles specified in Circular No. 28/2016/TT-BLDTBXH dated </w:t>
      </w:r>
      <w:r w:rsidR="00392651" w:rsidRPr="00A723D8">
        <w:rPr>
          <w:rFonts w:ascii="Arial" w:hAnsi="Arial" w:cs="Arial"/>
          <w:color w:val="010000"/>
          <w:sz w:val="20"/>
        </w:rPr>
        <w:t>September 1, 2016</w:t>
      </w:r>
      <w:r w:rsidR="00045F69">
        <w:rPr>
          <w:rFonts w:ascii="Arial" w:hAnsi="Arial" w:cs="Arial"/>
          <w:color w:val="010000"/>
          <w:sz w:val="20"/>
        </w:rPr>
        <w:t>,</w:t>
      </w:r>
      <w:r w:rsidR="00392651" w:rsidRPr="00A723D8">
        <w:rPr>
          <w:rFonts w:ascii="Arial" w:hAnsi="Arial" w:cs="Arial"/>
          <w:color w:val="010000"/>
          <w:sz w:val="20"/>
        </w:rPr>
        <w:t xml:space="preserve"> </w:t>
      </w:r>
      <w:r w:rsidRPr="00A723D8">
        <w:rPr>
          <w:rFonts w:ascii="Arial" w:hAnsi="Arial" w:cs="Arial"/>
          <w:color w:val="010000"/>
          <w:sz w:val="20"/>
        </w:rPr>
        <w:t xml:space="preserve">of the Ministry of Labor, War Invalids and Social Affairs guiding the implementation of regulations on labor, </w:t>
      </w:r>
      <w:r w:rsidR="009069B3" w:rsidRPr="00A723D8">
        <w:rPr>
          <w:rFonts w:ascii="Arial" w:hAnsi="Arial" w:cs="Arial"/>
          <w:color w:val="010000"/>
          <w:sz w:val="20"/>
        </w:rPr>
        <w:t>salary</w:t>
      </w:r>
      <w:r w:rsidRPr="00A723D8">
        <w:rPr>
          <w:rFonts w:ascii="Arial" w:hAnsi="Arial" w:cs="Arial"/>
          <w:color w:val="010000"/>
          <w:sz w:val="20"/>
        </w:rPr>
        <w:t xml:space="preserve">, remuneration and bonuses for companies with controlling shares and contributed capital of the State considering excluding objective factors affecting productivity and </w:t>
      </w:r>
      <w:r w:rsidR="009069B3" w:rsidRPr="00A723D8">
        <w:rPr>
          <w:rFonts w:ascii="Arial" w:hAnsi="Arial" w:cs="Arial"/>
          <w:color w:val="010000"/>
          <w:sz w:val="20"/>
        </w:rPr>
        <w:t xml:space="preserve">realized </w:t>
      </w:r>
      <w:r w:rsidRPr="00A723D8">
        <w:rPr>
          <w:rFonts w:ascii="Arial" w:hAnsi="Arial" w:cs="Arial"/>
          <w:color w:val="010000"/>
          <w:sz w:val="20"/>
        </w:rPr>
        <w:t xml:space="preserve">profit </w:t>
      </w:r>
      <w:r w:rsidR="009069B3" w:rsidRPr="00A723D8">
        <w:rPr>
          <w:rFonts w:ascii="Arial" w:hAnsi="Arial" w:cs="Arial"/>
          <w:color w:val="010000"/>
          <w:sz w:val="20"/>
        </w:rPr>
        <w:t>in</w:t>
      </w:r>
      <w:r w:rsidRPr="00A723D8">
        <w:rPr>
          <w:rFonts w:ascii="Arial" w:hAnsi="Arial" w:cs="Arial"/>
          <w:color w:val="010000"/>
          <w:sz w:val="20"/>
        </w:rPr>
        <w:t xml:space="preserve"> 2024</w:t>
      </w:r>
    </w:p>
    <w:p w14:paraId="3003D8AE" w14:textId="707184F0" w:rsidR="0049625C" w:rsidRPr="00A723D8" w:rsidRDefault="004E42F7" w:rsidP="009B08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 xml:space="preserve">‎‎Article 8. The General Meeting of Shareholders authorized the Board of Directors of the </w:t>
      </w:r>
      <w:r w:rsidR="009069B3" w:rsidRPr="00A723D8">
        <w:rPr>
          <w:rFonts w:ascii="Arial" w:hAnsi="Arial" w:cs="Arial"/>
          <w:color w:val="010000"/>
          <w:sz w:val="20"/>
        </w:rPr>
        <w:t xml:space="preserve">Company </w:t>
      </w:r>
      <w:r w:rsidRPr="00A723D8">
        <w:rPr>
          <w:rFonts w:ascii="Arial" w:hAnsi="Arial" w:cs="Arial"/>
          <w:color w:val="010000"/>
          <w:sz w:val="20"/>
        </w:rPr>
        <w:t xml:space="preserve">to select an audit </w:t>
      </w:r>
      <w:r w:rsidR="009069B3" w:rsidRPr="00A723D8">
        <w:rPr>
          <w:rFonts w:ascii="Arial" w:hAnsi="Arial" w:cs="Arial"/>
          <w:color w:val="010000"/>
          <w:sz w:val="20"/>
        </w:rPr>
        <w:t>company</w:t>
      </w:r>
      <w:r w:rsidRPr="00A723D8">
        <w:rPr>
          <w:rFonts w:ascii="Arial" w:hAnsi="Arial" w:cs="Arial"/>
          <w:color w:val="010000"/>
          <w:sz w:val="20"/>
        </w:rPr>
        <w:t xml:space="preserve"> for the Financial Statements 2024 (Attached).</w:t>
      </w:r>
    </w:p>
    <w:p w14:paraId="1E9C5FBB" w14:textId="77777777" w:rsidR="0049625C" w:rsidRPr="00A723D8" w:rsidRDefault="004E42F7" w:rsidP="009B08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>‎‎Article 9. Terms of enforcement</w:t>
      </w:r>
    </w:p>
    <w:p w14:paraId="70115E93" w14:textId="3F613743" w:rsidR="0049625C" w:rsidRPr="00A723D8" w:rsidRDefault="004E42F7" w:rsidP="009B08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 xml:space="preserve">This General Mandate was approved </w:t>
      </w:r>
      <w:r w:rsidR="009069B3" w:rsidRPr="00A723D8">
        <w:rPr>
          <w:rFonts w:ascii="Arial" w:hAnsi="Arial" w:cs="Arial"/>
          <w:color w:val="010000"/>
          <w:sz w:val="20"/>
        </w:rPr>
        <w:t>at</w:t>
      </w:r>
      <w:r w:rsidRPr="00A723D8">
        <w:rPr>
          <w:rFonts w:ascii="Arial" w:hAnsi="Arial" w:cs="Arial"/>
          <w:color w:val="010000"/>
          <w:sz w:val="20"/>
        </w:rPr>
        <w:t xml:space="preserve"> the </w:t>
      </w:r>
      <w:r w:rsidR="009069B3" w:rsidRPr="00A723D8">
        <w:rPr>
          <w:rFonts w:ascii="Arial" w:hAnsi="Arial" w:cs="Arial"/>
          <w:color w:val="010000"/>
          <w:sz w:val="20"/>
        </w:rPr>
        <w:t xml:space="preserve">Annual </w:t>
      </w:r>
      <w:r w:rsidRPr="00A723D8">
        <w:rPr>
          <w:rFonts w:ascii="Arial" w:hAnsi="Arial" w:cs="Arial"/>
          <w:color w:val="010000"/>
          <w:sz w:val="20"/>
        </w:rPr>
        <w:t>General</w:t>
      </w:r>
      <w:r w:rsidR="009069B3" w:rsidRPr="00A723D8">
        <w:rPr>
          <w:rFonts w:ascii="Arial" w:hAnsi="Arial" w:cs="Arial"/>
          <w:color w:val="010000"/>
          <w:sz w:val="20"/>
        </w:rPr>
        <w:t xml:space="preserve"> Meeting of Shareholders </w:t>
      </w:r>
      <w:r w:rsidRPr="00A723D8">
        <w:rPr>
          <w:rFonts w:ascii="Arial" w:hAnsi="Arial" w:cs="Arial"/>
          <w:color w:val="010000"/>
          <w:sz w:val="20"/>
        </w:rPr>
        <w:t>2024 and takes effect from the date of approval.</w:t>
      </w:r>
    </w:p>
    <w:p w14:paraId="65661ED8" w14:textId="5021C25B" w:rsidR="0049625C" w:rsidRPr="00A723D8" w:rsidRDefault="009069B3" w:rsidP="009B08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723D8">
        <w:rPr>
          <w:rFonts w:ascii="Arial" w:hAnsi="Arial" w:cs="Arial"/>
          <w:color w:val="010000"/>
          <w:sz w:val="20"/>
        </w:rPr>
        <w:t>M</w:t>
      </w:r>
      <w:r w:rsidR="004E42F7" w:rsidRPr="00A723D8">
        <w:rPr>
          <w:rFonts w:ascii="Arial" w:hAnsi="Arial" w:cs="Arial"/>
          <w:color w:val="010000"/>
          <w:sz w:val="20"/>
        </w:rPr>
        <w:t>embers of the Board of Directors, the Supervisory Board, the Board of Managers</w:t>
      </w:r>
      <w:r w:rsidR="00045F69">
        <w:rPr>
          <w:rFonts w:ascii="Arial" w:hAnsi="Arial" w:cs="Arial"/>
          <w:color w:val="010000"/>
          <w:sz w:val="20"/>
        </w:rPr>
        <w:t>,</w:t>
      </w:r>
      <w:r w:rsidR="004E42F7" w:rsidRPr="00A723D8">
        <w:rPr>
          <w:rFonts w:ascii="Arial" w:hAnsi="Arial" w:cs="Arial"/>
          <w:color w:val="010000"/>
          <w:sz w:val="20"/>
        </w:rPr>
        <w:t xml:space="preserve"> and all shareholders of Ha Noi - Nam Dinh Beer Joint Stock Company are responsible for the implementation of this </w:t>
      </w:r>
      <w:r w:rsidRPr="00A723D8">
        <w:rPr>
          <w:rFonts w:ascii="Arial" w:hAnsi="Arial" w:cs="Arial"/>
          <w:color w:val="010000"/>
          <w:sz w:val="20"/>
        </w:rPr>
        <w:t>General Mandate</w:t>
      </w:r>
      <w:r w:rsidR="004E42F7" w:rsidRPr="00A723D8">
        <w:rPr>
          <w:rFonts w:ascii="Arial" w:hAnsi="Arial" w:cs="Arial"/>
          <w:color w:val="010000"/>
          <w:sz w:val="20"/>
        </w:rPr>
        <w:t>.</w:t>
      </w:r>
    </w:p>
    <w:sectPr w:rsidR="0049625C" w:rsidRPr="00A723D8" w:rsidSect="004E42F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F58"/>
    <w:multiLevelType w:val="multilevel"/>
    <w:tmpl w:val="FE9AFFDA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630637"/>
    <w:multiLevelType w:val="multilevel"/>
    <w:tmpl w:val="4D00869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C434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943EF8"/>
    <w:multiLevelType w:val="multilevel"/>
    <w:tmpl w:val="04AA34E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C434B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6B1BE0"/>
    <w:multiLevelType w:val="multilevel"/>
    <w:tmpl w:val="DC8C84E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23EA"/>
    <w:multiLevelType w:val="multilevel"/>
    <w:tmpl w:val="E758C1F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65D15"/>
    <w:multiLevelType w:val="multilevel"/>
    <w:tmpl w:val="63B2FA5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C434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837F7F"/>
    <w:multiLevelType w:val="multilevel"/>
    <w:tmpl w:val="DBCE18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5C"/>
    <w:rsid w:val="00045F69"/>
    <w:rsid w:val="00233DD0"/>
    <w:rsid w:val="00392651"/>
    <w:rsid w:val="0049625C"/>
    <w:rsid w:val="004E42F7"/>
    <w:rsid w:val="00773419"/>
    <w:rsid w:val="009069B3"/>
    <w:rsid w:val="009A35E4"/>
    <w:rsid w:val="009B082F"/>
    <w:rsid w:val="009E234C"/>
    <w:rsid w:val="00A723D8"/>
    <w:rsid w:val="00F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15377"/>
  <w15:docId w15:val="{4686CEBC-636A-42D6-AEF1-A9214223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8F9394"/>
      <w:sz w:val="15"/>
      <w:szCs w:val="15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434B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3C434B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434B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434B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/>
      <w:iCs/>
      <w:smallCaps w:val="0"/>
      <w:strike w:val="0"/>
      <w:color w:val="3C434B"/>
      <w:sz w:val="22"/>
      <w:szCs w:val="22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pPr>
      <w:spacing w:line="209" w:lineRule="auto"/>
    </w:pPr>
    <w:rPr>
      <w:rFonts w:ascii="Arial" w:eastAsia="Arial" w:hAnsi="Arial" w:cs="Arial"/>
      <w:color w:val="8F9394"/>
      <w:sz w:val="15"/>
      <w:szCs w:val="15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400"/>
    </w:pPr>
    <w:rPr>
      <w:rFonts w:ascii="Times New Roman" w:eastAsia="Times New Roman" w:hAnsi="Times New Roman" w:cs="Times New Roman"/>
      <w:color w:val="3C434B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color w:val="3C434B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7"/>
      <w:szCs w:val="17"/>
    </w:rPr>
  </w:style>
  <w:style w:type="paragraph" w:customStyle="1" w:styleId="Khc0">
    <w:name w:val="Khác"/>
    <w:basedOn w:val="Normal"/>
    <w:link w:val="Khc"/>
    <w:pPr>
      <w:spacing w:line="305" w:lineRule="auto"/>
      <w:ind w:firstLine="400"/>
    </w:pPr>
    <w:rPr>
      <w:rFonts w:ascii="Times New Roman" w:eastAsia="Times New Roman" w:hAnsi="Times New Roman" w:cs="Times New Roman"/>
      <w:color w:val="3C434B"/>
      <w:sz w:val="26"/>
      <w:szCs w:val="26"/>
    </w:rPr>
  </w:style>
  <w:style w:type="paragraph" w:customStyle="1" w:styleId="Chthchbng0">
    <w:name w:val="Chú thích bảng"/>
    <w:basedOn w:val="Normal"/>
    <w:link w:val="Chthchbng"/>
    <w:pPr>
      <w:ind w:firstLine="130"/>
    </w:pPr>
    <w:rPr>
      <w:rFonts w:ascii="Times New Roman" w:eastAsia="Times New Roman" w:hAnsi="Times New Roman" w:cs="Times New Roman"/>
      <w:color w:val="3C434B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left="1540"/>
    </w:pPr>
    <w:rPr>
      <w:rFonts w:ascii="Times New Roman" w:eastAsia="Times New Roman" w:hAnsi="Times New Roman" w:cs="Times New Roman"/>
      <w:b/>
      <w:bCs/>
      <w:i/>
      <w:iCs/>
      <w:color w:val="3C434B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36322A"/>
    <w:pPr>
      <w:ind w:left="720"/>
      <w:contextualSpacing/>
    </w:p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qIeUYVv7sNy9LAU39/8/vtP8HA==">CgMxLjAyCWguMzBqMHpsbDIIaC5namRneHM4AHIhMUNxcnhFV3JpMEJyMXNIdkpqcTlqeUVvclRRYWtnQjQ5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688</Words>
  <Characters>3620</Characters>
  <Application>Microsoft Office Word</Application>
  <DocSecurity>0</DocSecurity>
  <Lines>191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11</cp:revision>
  <dcterms:created xsi:type="dcterms:W3CDTF">2024-04-16T04:22:00Z</dcterms:created>
  <dcterms:modified xsi:type="dcterms:W3CDTF">2024-04-19T03:47:00Z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dc708323e5fe1dd38d2bc6e2984f885dab252e100f5270cd8dfb5a09230b6102</vt:lpwstr>
  </property>
</Properties>
</file>