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153B8" w:rsidRPr="00841653" w:rsidRDefault="0069495E" w:rsidP="0036353A">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841653">
        <w:rPr>
          <w:rFonts w:ascii="Arial" w:hAnsi="Arial" w:cs="Arial"/>
          <w:b/>
          <w:color w:val="010000"/>
          <w:sz w:val="20"/>
        </w:rPr>
        <w:t>CCP: Annual General Mandate 2024</w:t>
      </w:r>
    </w:p>
    <w:p w14:paraId="00000002" w14:textId="77777777" w:rsidR="004153B8" w:rsidRPr="00841653" w:rsidRDefault="0069495E" w:rsidP="0036353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1653">
        <w:rPr>
          <w:rFonts w:ascii="Arial" w:hAnsi="Arial" w:cs="Arial"/>
          <w:color w:val="010000"/>
          <w:sz w:val="20"/>
        </w:rPr>
        <w:t>On April 12, 2024, Hai Phong Cua Cam Port Joint Stock Company announced General Mandate as follows:</w:t>
      </w:r>
    </w:p>
    <w:p w14:paraId="00000003" w14:textId="3305DC17" w:rsidR="004153B8" w:rsidRPr="00841653" w:rsidRDefault="0069495E" w:rsidP="0036353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1653">
        <w:rPr>
          <w:rFonts w:ascii="Arial" w:hAnsi="Arial" w:cs="Arial"/>
          <w:color w:val="010000"/>
          <w:sz w:val="20"/>
        </w:rPr>
        <w:t>Article 1: Approve the Report on production and business results</w:t>
      </w:r>
      <w:r w:rsidR="00F80714">
        <w:rPr>
          <w:rFonts w:ascii="Arial" w:hAnsi="Arial" w:cs="Arial"/>
          <w:color w:val="010000"/>
          <w:sz w:val="20"/>
        </w:rPr>
        <w:t xml:space="preserve"> in</w:t>
      </w:r>
      <w:r w:rsidRPr="00841653">
        <w:rPr>
          <w:rFonts w:ascii="Arial" w:hAnsi="Arial" w:cs="Arial"/>
          <w:color w:val="010000"/>
          <w:sz w:val="20"/>
        </w:rPr>
        <w:t xml:space="preserve"> 2023 with </w:t>
      </w:r>
      <w:r w:rsidR="00F80714">
        <w:rPr>
          <w:rFonts w:ascii="Arial" w:hAnsi="Arial" w:cs="Arial"/>
          <w:color w:val="010000"/>
          <w:sz w:val="20"/>
        </w:rPr>
        <w:t>several</w:t>
      </w:r>
      <w:r w:rsidRPr="00841653">
        <w:rPr>
          <w:rFonts w:ascii="Arial" w:hAnsi="Arial" w:cs="Arial"/>
          <w:color w:val="010000"/>
          <w:sz w:val="20"/>
        </w:rPr>
        <w:t xml:space="preserve"> key indicators confirmed by An Viet Auditing Company Limited as follows:</w:t>
      </w:r>
    </w:p>
    <w:p w14:paraId="00000004" w14:textId="77777777" w:rsidR="004153B8" w:rsidRPr="00841653" w:rsidRDefault="0069495E" w:rsidP="0036353A">
      <w:pPr>
        <w:keepNext/>
        <w:numPr>
          <w:ilvl w:val="0"/>
          <w:numId w:val="5"/>
        </w:numPr>
        <w:pBdr>
          <w:top w:val="nil"/>
          <w:left w:val="nil"/>
          <w:bottom w:val="nil"/>
          <w:right w:val="nil"/>
          <w:between w:val="nil"/>
        </w:pBdr>
        <w:tabs>
          <w:tab w:val="left" w:pos="432"/>
          <w:tab w:val="left" w:pos="984"/>
        </w:tabs>
        <w:spacing w:after="120" w:line="360" w:lineRule="auto"/>
        <w:jc w:val="both"/>
        <w:rPr>
          <w:rFonts w:ascii="Arial" w:eastAsia="Arial" w:hAnsi="Arial" w:cs="Arial"/>
          <w:color w:val="010000"/>
          <w:sz w:val="20"/>
          <w:szCs w:val="20"/>
        </w:rPr>
      </w:pPr>
      <w:r w:rsidRPr="00841653">
        <w:rPr>
          <w:rFonts w:ascii="Arial" w:hAnsi="Arial" w:cs="Arial"/>
          <w:color w:val="010000"/>
          <w:sz w:val="20"/>
        </w:rPr>
        <w:t>Production and business results in 2023:</w:t>
      </w:r>
    </w:p>
    <w:p w14:paraId="00000005" w14:textId="2C52FD9E" w:rsidR="004153B8" w:rsidRPr="00841653" w:rsidRDefault="0069495E" w:rsidP="0036353A">
      <w:pPr>
        <w:numPr>
          <w:ilvl w:val="0"/>
          <w:numId w:val="4"/>
        </w:numPr>
        <w:pBdr>
          <w:top w:val="nil"/>
          <w:left w:val="nil"/>
          <w:bottom w:val="nil"/>
          <w:right w:val="nil"/>
          <w:between w:val="nil"/>
        </w:pBdr>
        <w:tabs>
          <w:tab w:val="left" w:pos="432"/>
          <w:tab w:val="left" w:pos="905"/>
        </w:tabs>
        <w:spacing w:after="120" w:line="360" w:lineRule="auto"/>
        <w:jc w:val="both"/>
        <w:rPr>
          <w:rFonts w:ascii="Arial" w:eastAsia="Arial" w:hAnsi="Arial" w:cs="Arial"/>
          <w:color w:val="010000"/>
          <w:sz w:val="20"/>
          <w:szCs w:val="20"/>
        </w:rPr>
      </w:pPr>
      <w:r w:rsidRPr="00841653">
        <w:rPr>
          <w:rFonts w:ascii="Arial" w:hAnsi="Arial" w:cs="Arial"/>
          <w:color w:val="010000"/>
          <w:sz w:val="20"/>
        </w:rPr>
        <w:t>Total revenue: VND 20</w:t>
      </w:r>
      <w:r w:rsidR="006C318E" w:rsidRPr="00841653">
        <w:rPr>
          <w:rFonts w:ascii="Arial" w:hAnsi="Arial" w:cs="Arial"/>
          <w:color w:val="010000"/>
          <w:sz w:val="20"/>
        </w:rPr>
        <w:t>,</w:t>
      </w:r>
      <w:r w:rsidRPr="00841653">
        <w:rPr>
          <w:rFonts w:ascii="Arial" w:hAnsi="Arial" w:cs="Arial"/>
          <w:color w:val="010000"/>
          <w:sz w:val="20"/>
        </w:rPr>
        <w:t>825 million</w:t>
      </w:r>
    </w:p>
    <w:p w14:paraId="00000006" w14:textId="77777777" w:rsidR="004153B8" w:rsidRPr="00841653" w:rsidRDefault="0069495E" w:rsidP="0036353A">
      <w:pPr>
        <w:numPr>
          <w:ilvl w:val="0"/>
          <w:numId w:val="4"/>
        </w:numPr>
        <w:pBdr>
          <w:top w:val="nil"/>
          <w:left w:val="nil"/>
          <w:bottom w:val="nil"/>
          <w:right w:val="nil"/>
          <w:between w:val="nil"/>
        </w:pBdr>
        <w:tabs>
          <w:tab w:val="left" w:pos="432"/>
          <w:tab w:val="left" w:pos="905"/>
        </w:tabs>
        <w:spacing w:after="120" w:line="360" w:lineRule="auto"/>
        <w:jc w:val="both"/>
        <w:rPr>
          <w:rFonts w:ascii="Arial" w:eastAsia="Arial" w:hAnsi="Arial" w:cs="Arial"/>
          <w:color w:val="010000"/>
          <w:sz w:val="20"/>
          <w:szCs w:val="20"/>
        </w:rPr>
      </w:pPr>
      <w:r w:rsidRPr="00841653">
        <w:rPr>
          <w:rFonts w:ascii="Arial" w:hAnsi="Arial" w:cs="Arial"/>
          <w:color w:val="010000"/>
          <w:sz w:val="20"/>
        </w:rPr>
        <w:t>Total profit before tax: VND -980 million</w:t>
      </w:r>
    </w:p>
    <w:p w14:paraId="00000007" w14:textId="77777777" w:rsidR="004153B8" w:rsidRPr="00841653" w:rsidRDefault="0069495E" w:rsidP="0036353A">
      <w:pPr>
        <w:keepNext/>
        <w:numPr>
          <w:ilvl w:val="0"/>
          <w:numId w:val="5"/>
        </w:numPr>
        <w:pBdr>
          <w:top w:val="nil"/>
          <w:left w:val="nil"/>
          <w:bottom w:val="nil"/>
          <w:right w:val="nil"/>
          <w:between w:val="nil"/>
        </w:pBdr>
        <w:tabs>
          <w:tab w:val="left" w:pos="432"/>
          <w:tab w:val="left" w:pos="995"/>
        </w:tabs>
        <w:spacing w:after="120" w:line="360" w:lineRule="auto"/>
        <w:jc w:val="both"/>
        <w:rPr>
          <w:rFonts w:ascii="Arial" w:eastAsia="Arial" w:hAnsi="Arial" w:cs="Arial"/>
          <w:color w:val="010000"/>
          <w:sz w:val="20"/>
          <w:szCs w:val="20"/>
        </w:rPr>
      </w:pPr>
      <w:r w:rsidRPr="00841653">
        <w:rPr>
          <w:rFonts w:ascii="Arial" w:hAnsi="Arial" w:cs="Arial"/>
          <w:color w:val="010000"/>
          <w:sz w:val="20"/>
        </w:rPr>
        <w:t>Some financial indicators as of December 31, 2023:</w:t>
      </w:r>
    </w:p>
    <w:p w14:paraId="00000008" w14:textId="77777777" w:rsidR="004153B8" w:rsidRPr="00841653" w:rsidRDefault="0069495E" w:rsidP="0036353A">
      <w:pPr>
        <w:numPr>
          <w:ilvl w:val="0"/>
          <w:numId w:val="4"/>
        </w:numPr>
        <w:pBdr>
          <w:top w:val="nil"/>
          <w:left w:val="nil"/>
          <w:bottom w:val="nil"/>
          <w:right w:val="nil"/>
          <w:between w:val="nil"/>
        </w:pBdr>
        <w:tabs>
          <w:tab w:val="left" w:pos="432"/>
          <w:tab w:val="left" w:pos="908"/>
        </w:tabs>
        <w:spacing w:after="120" w:line="360" w:lineRule="auto"/>
        <w:jc w:val="both"/>
        <w:rPr>
          <w:rFonts w:ascii="Arial" w:eastAsia="Arial" w:hAnsi="Arial" w:cs="Arial"/>
          <w:color w:val="010000"/>
          <w:sz w:val="20"/>
          <w:szCs w:val="20"/>
        </w:rPr>
      </w:pPr>
      <w:r w:rsidRPr="00841653">
        <w:rPr>
          <w:rFonts w:ascii="Arial" w:hAnsi="Arial" w:cs="Arial"/>
          <w:color w:val="010000"/>
          <w:sz w:val="20"/>
        </w:rPr>
        <w:t>Total assets: VND 29,035,698,240</w:t>
      </w:r>
    </w:p>
    <w:p w14:paraId="00000009" w14:textId="77777777" w:rsidR="004153B8" w:rsidRPr="00841653" w:rsidRDefault="0069495E" w:rsidP="0036353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1653">
        <w:rPr>
          <w:rFonts w:ascii="Arial" w:hAnsi="Arial" w:cs="Arial"/>
          <w:color w:val="010000"/>
          <w:sz w:val="20"/>
        </w:rPr>
        <w:t xml:space="preserve">In which: </w:t>
      </w:r>
    </w:p>
    <w:p w14:paraId="0000000A" w14:textId="77777777" w:rsidR="004153B8" w:rsidRPr="00841653" w:rsidRDefault="0069495E" w:rsidP="0036353A">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41653">
        <w:rPr>
          <w:rFonts w:ascii="Arial" w:hAnsi="Arial" w:cs="Arial"/>
          <w:color w:val="010000"/>
          <w:sz w:val="20"/>
        </w:rPr>
        <w:t xml:space="preserve">Short-term assets: VND 23,107,701,055 </w:t>
      </w:r>
    </w:p>
    <w:p w14:paraId="0000000B" w14:textId="77777777" w:rsidR="004153B8" w:rsidRPr="00841653" w:rsidRDefault="0069495E" w:rsidP="0036353A">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41653">
        <w:rPr>
          <w:rFonts w:ascii="Arial" w:hAnsi="Arial" w:cs="Arial"/>
          <w:color w:val="010000"/>
          <w:sz w:val="20"/>
        </w:rPr>
        <w:t>Long-term assets: VND 5,927,997,185</w:t>
      </w:r>
    </w:p>
    <w:p w14:paraId="0000000C" w14:textId="77777777" w:rsidR="004153B8" w:rsidRPr="00841653" w:rsidRDefault="0069495E" w:rsidP="0036353A">
      <w:pPr>
        <w:numPr>
          <w:ilvl w:val="0"/>
          <w:numId w:val="4"/>
        </w:numPr>
        <w:pBdr>
          <w:top w:val="nil"/>
          <w:left w:val="nil"/>
          <w:bottom w:val="nil"/>
          <w:right w:val="nil"/>
          <w:between w:val="nil"/>
        </w:pBdr>
        <w:tabs>
          <w:tab w:val="left" w:pos="432"/>
          <w:tab w:val="left" w:pos="908"/>
        </w:tabs>
        <w:spacing w:after="120" w:line="360" w:lineRule="auto"/>
        <w:jc w:val="both"/>
        <w:rPr>
          <w:rFonts w:ascii="Arial" w:eastAsia="Arial" w:hAnsi="Arial" w:cs="Arial"/>
          <w:color w:val="010000"/>
          <w:sz w:val="20"/>
          <w:szCs w:val="20"/>
        </w:rPr>
      </w:pPr>
      <w:r w:rsidRPr="00841653">
        <w:rPr>
          <w:rFonts w:ascii="Arial" w:hAnsi="Arial" w:cs="Arial"/>
          <w:color w:val="010000"/>
          <w:sz w:val="20"/>
        </w:rPr>
        <w:t>Total source of capital: VND 29,035,698,240</w:t>
      </w:r>
    </w:p>
    <w:p w14:paraId="0000000D" w14:textId="77777777" w:rsidR="004153B8" w:rsidRPr="00841653" w:rsidRDefault="0069495E" w:rsidP="0036353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1653">
        <w:rPr>
          <w:rFonts w:ascii="Arial" w:hAnsi="Arial" w:cs="Arial"/>
          <w:color w:val="010000"/>
          <w:sz w:val="20"/>
        </w:rPr>
        <w:t xml:space="preserve">In which: </w:t>
      </w:r>
    </w:p>
    <w:p w14:paraId="0000000E" w14:textId="77777777" w:rsidR="004153B8" w:rsidRPr="00841653" w:rsidRDefault="0069495E" w:rsidP="0036353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41653">
        <w:rPr>
          <w:rFonts w:ascii="Arial" w:hAnsi="Arial" w:cs="Arial"/>
          <w:color w:val="010000"/>
          <w:sz w:val="20"/>
        </w:rPr>
        <w:t>Liabilities: VND 2,478,307,772</w:t>
      </w:r>
    </w:p>
    <w:p w14:paraId="0000000F" w14:textId="77777777" w:rsidR="004153B8" w:rsidRPr="00841653" w:rsidRDefault="0069495E" w:rsidP="0036353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41653">
        <w:rPr>
          <w:rFonts w:ascii="Arial" w:hAnsi="Arial" w:cs="Arial"/>
          <w:color w:val="010000"/>
          <w:sz w:val="20"/>
        </w:rPr>
        <w:t>Owners’ equity: VND 26,557,390,468</w:t>
      </w:r>
    </w:p>
    <w:p w14:paraId="00000010" w14:textId="77777777" w:rsidR="004153B8" w:rsidRPr="00841653" w:rsidRDefault="0069495E" w:rsidP="0036353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1653">
        <w:rPr>
          <w:rFonts w:ascii="Arial" w:hAnsi="Arial" w:cs="Arial"/>
          <w:color w:val="010000"/>
          <w:sz w:val="20"/>
        </w:rPr>
        <w:t>Article 2: Approve production and business plans and some solutions in production and business in 2024</w:t>
      </w:r>
    </w:p>
    <w:p w14:paraId="00000011" w14:textId="77777777" w:rsidR="004153B8" w:rsidRPr="00841653" w:rsidRDefault="0069495E" w:rsidP="0036353A">
      <w:pPr>
        <w:keepNext/>
        <w:numPr>
          <w:ilvl w:val="0"/>
          <w:numId w:val="6"/>
        </w:numPr>
        <w:pBdr>
          <w:top w:val="nil"/>
          <w:left w:val="nil"/>
          <w:bottom w:val="nil"/>
          <w:right w:val="nil"/>
          <w:between w:val="nil"/>
        </w:pBdr>
        <w:tabs>
          <w:tab w:val="left" w:pos="432"/>
          <w:tab w:val="left" w:pos="984"/>
        </w:tabs>
        <w:spacing w:after="120" w:line="360" w:lineRule="auto"/>
        <w:jc w:val="both"/>
        <w:rPr>
          <w:rFonts w:ascii="Arial" w:eastAsia="Arial" w:hAnsi="Arial" w:cs="Arial"/>
          <w:color w:val="010000"/>
          <w:sz w:val="20"/>
          <w:szCs w:val="20"/>
        </w:rPr>
      </w:pPr>
      <w:r w:rsidRPr="00841653">
        <w:rPr>
          <w:rFonts w:ascii="Arial" w:hAnsi="Arial" w:cs="Arial"/>
          <w:color w:val="010000"/>
          <w:sz w:val="20"/>
        </w:rPr>
        <w:t>Production and business plan for 2024</w:t>
      </w:r>
    </w:p>
    <w:p w14:paraId="00000012" w14:textId="77777777" w:rsidR="004153B8" w:rsidRPr="00841653" w:rsidRDefault="0069495E" w:rsidP="0036353A">
      <w:pPr>
        <w:numPr>
          <w:ilvl w:val="0"/>
          <w:numId w:val="4"/>
        </w:numPr>
        <w:pBdr>
          <w:top w:val="nil"/>
          <w:left w:val="nil"/>
          <w:bottom w:val="nil"/>
          <w:right w:val="nil"/>
          <w:between w:val="nil"/>
        </w:pBdr>
        <w:tabs>
          <w:tab w:val="left" w:pos="432"/>
          <w:tab w:val="left" w:pos="908"/>
        </w:tabs>
        <w:spacing w:after="120" w:line="360" w:lineRule="auto"/>
        <w:jc w:val="both"/>
        <w:rPr>
          <w:rFonts w:ascii="Arial" w:eastAsia="Arial" w:hAnsi="Arial" w:cs="Arial"/>
          <w:color w:val="010000"/>
          <w:sz w:val="20"/>
          <w:szCs w:val="20"/>
        </w:rPr>
      </w:pPr>
      <w:r w:rsidRPr="00841653">
        <w:rPr>
          <w:rFonts w:ascii="Arial" w:hAnsi="Arial" w:cs="Arial"/>
          <w:color w:val="010000"/>
          <w:sz w:val="20"/>
        </w:rPr>
        <w:t>Total revenue: VND 12,000 million</w:t>
      </w:r>
    </w:p>
    <w:p w14:paraId="00000013" w14:textId="77777777" w:rsidR="004153B8" w:rsidRPr="00841653" w:rsidRDefault="0069495E" w:rsidP="0036353A">
      <w:pPr>
        <w:numPr>
          <w:ilvl w:val="0"/>
          <w:numId w:val="4"/>
        </w:numPr>
        <w:pBdr>
          <w:top w:val="nil"/>
          <w:left w:val="nil"/>
          <w:bottom w:val="nil"/>
          <w:right w:val="nil"/>
          <w:between w:val="nil"/>
        </w:pBdr>
        <w:tabs>
          <w:tab w:val="left" w:pos="432"/>
          <w:tab w:val="left" w:pos="908"/>
        </w:tabs>
        <w:spacing w:after="120" w:line="360" w:lineRule="auto"/>
        <w:jc w:val="both"/>
        <w:rPr>
          <w:rFonts w:ascii="Arial" w:eastAsia="Arial" w:hAnsi="Arial" w:cs="Arial"/>
          <w:color w:val="010000"/>
          <w:sz w:val="20"/>
          <w:szCs w:val="20"/>
        </w:rPr>
      </w:pPr>
      <w:r w:rsidRPr="00841653">
        <w:rPr>
          <w:rFonts w:ascii="Arial" w:hAnsi="Arial" w:cs="Arial"/>
          <w:color w:val="010000"/>
          <w:sz w:val="20"/>
        </w:rPr>
        <w:t>Total profit before tax: VND 2,500 million</w:t>
      </w:r>
    </w:p>
    <w:p w14:paraId="00000014" w14:textId="77777777" w:rsidR="004153B8" w:rsidRPr="00841653" w:rsidRDefault="0069495E" w:rsidP="0036353A">
      <w:pPr>
        <w:numPr>
          <w:ilvl w:val="0"/>
          <w:numId w:val="4"/>
        </w:numPr>
        <w:pBdr>
          <w:top w:val="nil"/>
          <w:left w:val="nil"/>
          <w:bottom w:val="nil"/>
          <w:right w:val="nil"/>
          <w:between w:val="nil"/>
        </w:pBdr>
        <w:tabs>
          <w:tab w:val="left" w:pos="432"/>
          <w:tab w:val="left" w:pos="908"/>
        </w:tabs>
        <w:spacing w:after="120" w:line="360" w:lineRule="auto"/>
        <w:jc w:val="both"/>
        <w:rPr>
          <w:rFonts w:ascii="Arial" w:eastAsia="Arial" w:hAnsi="Arial" w:cs="Arial"/>
          <w:color w:val="010000"/>
          <w:sz w:val="20"/>
          <w:szCs w:val="20"/>
        </w:rPr>
      </w:pPr>
      <w:r w:rsidRPr="00841653">
        <w:rPr>
          <w:rFonts w:ascii="Arial" w:hAnsi="Arial" w:cs="Arial"/>
          <w:color w:val="010000"/>
          <w:sz w:val="20"/>
        </w:rPr>
        <w:t>Dividend payment rate: 0%</w:t>
      </w:r>
    </w:p>
    <w:p w14:paraId="00000015" w14:textId="77777777" w:rsidR="004153B8" w:rsidRPr="00841653" w:rsidRDefault="0069495E" w:rsidP="0036353A">
      <w:pPr>
        <w:numPr>
          <w:ilvl w:val="0"/>
          <w:numId w:val="6"/>
        </w:numPr>
        <w:pBdr>
          <w:top w:val="nil"/>
          <w:left w:val="nil"/>
          <w:bottom w:val="nil"/>
          <w:right w:val="nil"/>
          <w:between w:val="nil"/>
        </w:pBdr>
        <w:tabs>
          <w:tab w:val="left" w:pos="432"/>
          <w:tab w:val="left" w:pos="991"/>
        </w:tabs>
        <w:spacing w:after="120" w:line="360" w:lineRule="auto"/>
        <w:jc w:val="both"/>
        <w:rPr>
          <w:rFonts w:ascii="Arial" w:eastAsia="Arial" w:hAnsi="Arial" w:cs="Arial"/>
          <w:color w:val="010000"/>
          <w:sz w:val="20"/>
          <w:szCs w:val="20"/>
        </w:rPr>
      </w:pPr>
      <w:r w:rsidRPr="00841653">
        <w:rPr>
          <w:rFonts w:ascii="Arial" w:hAnsi="Arial" w:cs="Arial"/>
          <w:color w:val="010000"/>
          <w:sz w:val="20"/>
        </w:rPr>
        <w:t>Some solutions in production and business in 2024</w:t>
      </w:r>
    </w:p>
    <w:p w14:paraId="00000016" w14:textId="77777777" w:rsidR="004153B8" w:rsidRPr="00841653" w:rsidRDefault="0069495E" w:rsidP="0036353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1653">
        <w:rPr>
          <w:rFonts w:ascii="Arial" w:hAnsi="Arial" w:cs="Arial"/>
          <w:color w:val="010000"/>
          <w:sz w:val="20"/>
        </w:rPr>
        <w:t>Changes and restrictions in 2024:</w:t>
      </w:r>
    </w:p>
    <w:p w14:paraId="00000017" w14:textId="02D92D55" w:rsidR="004153B8" w:rsidRPr="00841653" w:rsidRDefault="0069495E" w:rsidP="0036353A">
      <w:pPr>
        <w:numPr>
          <w:ilvl w:val="0"/>
          <w:numId w:val="4"/>
        </w:numPr>
        <w:pBdr>
          <w:top w:val="nil"/>
          <w:left w:val="nil"/>
          <w:bottom w:val="nil"/>
          <w:right w:val="nil"/>
          <w:between w:val="nil"/>
        </w:pBdr>
        <w:tabs>
          <w:tab w:val="left" w:pos="432"/>
          <w:tab w:val="left" w:pos="934"/>
        </w:tabs>
        <w:spacing w:after="120" w:line="360" w:lineRule="auto"/>
        <w:jc w:val="both"/>
        <w:rPr>
          <w:rFonts w:ascii="Arial" w:eastAsia="Arial" w:hAnsi="Arial" w:cs="Arial"/>
          <w:color w:val="010000"/>
          <w:sz w:val="20"/>
          <w:szCs w:val="20"/>
        </w:rPr>
      </w:pPr>
      <w:r w:rsidRPr="00841653">
        <w:rPr>
          <w:rFonts w:ascii="Arial" w:hAnsi="Arial" w:cs="Arial"/>
          <w:color w:val="010000"/>
          <w:sz w:val="20"/>
        </w:rPr>
        <w:t>The recovery of 6,155 square meters of land from Hai Phong Cua Cam Port to implement the May Chai bridge construction project to Vu Yen Island according to Notice No. 1173/TB-UBND dated August 29, 2023 and Decision No. 254/QD-UBND dated February 28, 2024</w:t>
      </w:r>
      <w:r w:rsidR="00F80714">
        <w:rPr>
          <w:rFonts w:ascii="Arial" w:hAnsi="Arial" w:cs="Arial"/>
          <w:color w:val="010000"/>
          <w:sz w:val="20"/>
        </w:rPr>
        <w:t>,</w:t>
      </w:r>
      <w:r w:rsidRPr="00841653">
        <w:rPr>
          <w:rFonts w:ascii="Arial" w:hAnsi="Arial" w:cs="Arial"/>
          <w:color w:val="010000"/>
          <w:sz w:val="20"/>
        </w:rPr>
        <w:t xml:space="preserve"> of the People's Committee of Ngo Quyen District has narrowed the port yard area as well as the wharf system that will not be able to receive ships because it is within the 150 meters safety corridor of May Chai bridge.</w:t>
      </w:r>
    </w:p>
    <w:p w14:paraId="00000018" w14:textId="77777777" w:rsidR="004153B8" w:rsidRPr="00841653" w:rsidRDefault="0069495E" w:rsidP="0036353A">
      <w:pPr>
        <w:numPr>
          <w:ilvl w:val="0"/>
          <w:numId w:val="4"/>
        </w:numPr>
        <w:pBdr>
          <w:top w:val="nil"/>
          <w:left w:val="nil"/>
          <w:bottom w:val="nil"/>
          <w:right w:val="nil"/>
          <w:between w:val="nil"/>
        </w:pBdr>
        <w:tabs>
          <w:tab w:val="left" w:pos="432"/>
          <w:tab w:val="left" w:pos="762"/>
        </w:tabs>
        <w:spacing w:after="120" w:line="360" w:lineRule="auto"/>
        <w:jc w:val="both"/>
        <w:rPr>
          <w:rFonts w:ascii="Arial" w:eastAsia="Arial" w:hAnsi="Arial" w:cs="Arial"/>
          <w:color w:val="010000"/>
          <w:sz w:val="20"/>
          <w:szCs w:val="20"/>
        </w:rPr>
      </w:pPr>
      <w:r w:rsidRPr="00841653">
        <w:rPr>
          <w:rFonts w:ascii="Arial" w:hAnsi="Arial" w:cs="Arial"/>
          <w:color w:val="010000"/>
          <w:sz w:val="20"/>
        </w:rPr>
        <w:t xml:space="preserve">Thus, the Company's wharf exploitation and cargo handling business activities will be seriously reduced, along with all equipment, tools, etc. of the company's cargo handling machinery. The company </w:t>
      </w:r>
      <w:r w:rsidRPr="00841653">
        <w:rPr>
          <w:rFonts w:ascii="Arial" w:hAnsi="Arial" w:cs="Arial"/>
          <w:color w:val="010000"/>
          <w:sz w:val="20"/>
        </w:rPr>
        <w:lastRenderedPageBreak/>
        <w:t>also had to liquidate and only had the business part of the rental yard area left.</w:t>
      </w:r>
    </w:p>
    <w:p w14:paraId="00000019" w14:textId="77777777" w:rsidR="004153B8" w:rsidRPr="00841653" w:rsidRDefault="0069495E" w:rsidP="0036353A">
      <w:pPr>
        <w:numPr>
          <w:ilvl w:val="0"/>
          <w:numId w:val="4"/>
        </w:numPr>
        <w:pBdr>
          <w:top w:val="nil"/>
          <w:left w:val="nil"/>
          <w:bottom w:val="nil"/>
          <w:right w:val="nil"/>
          <w:between w:val="nil"/>
        </w:pBdr>
        <w:tabs>
          <w:tab w:val="left" w:pos="432"/>
          <w:tab w:val="left" w:pos="758"/>
        </w:tabs>
        <w:spacing w:after="120" w:line="360" w:lineRule="auto"/>
        <w:jc w:val="both"/>
        <w:rPr>
          <w:rFonts w:ascii="Arial" w:eastAsia="Arial" w:hAnsi="Arial" w:cs="Arial"/>
          <w:color w:val="010000"/>
          <w:sz w:val="20"/>
          <w:szCs w:val="20"/>
        </w:rPr>
      </w:pPr>
      <w:r w:rsidRPr="00841653">
        <w:rPr>
          <w:rFonts w:ascii="Arial" w:hAnsi="Arial" w:cs="Arial"/>
          <w:color w:val="010000"/>
          <w:sz w:val="20"/>
        </w:rPr>
        <w:t>The Company's land lease contract with the City People's Committee only expires on December 31, 2025 (nearly 2 years left). If the city immediately implements regional planning, after 2025 it will be very difficult for the company to continue renewing the contract. land lease, this greatly affects the Company's operations at the current premises.</w:t>
      </w:r>
    </w:p>
    <w:p w14:paraId="0000001A" w14:textId="77777777" w:rsidR="004153B8" w:rsidRPr="00841653" w:rsidRDefault="0069495E" w:rsidP="0036353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1653">
        <w:rPr>
          <w:rFonts w:ascii="Arial" w:hAnsi="Arial" w:cs="Arial"/>
          <w:color w:val="010000"/>
          <w:sz w:val="20"/>
        </w:rPr>
        <w:t>Some advantages in production and business in 2024:</w:t>
      </w:r>
    </w:p>
    <w:p w14:paraId="0000001B" w14:textId="386F7CFB" w:rsidR="004153B8" w:rsidRPr="00841653" w:rsidRDefault="0069495E" w:rsidP="0036353A">
      <w:pPr>
        <w:numPr>
          <w:ilvl w:val="0"/>
          <w:numId w:val="4"/>
        </w:numPr>
        <w:pBdr>
          <w:top w:val="nil"/>
          <w:left w:val="nil"/>
          <w:bottom w:val="nil"/>
          <w:right w:val="nil"/>
          <w:between w:val="nil"/>
        </w:pBdr>
        <w:tabs>
          <w:tab w:val="left" w:pos="432"/>
          <w:tab w:val="left" w:pos="758"/>
        </w:tabs>
        <w:spacing w:after="120" w:line="360" w:lineRule="auto"/>
        <w:jc w:val="both"/>
        <w:rPr>
          <w:rFonts w:ascii="Arial" w:eastAsia="Arial" w:hAnsi="Arial" w:cs="Arial"/>
          <w:color w:val="010000"/>
          <w:sz w:val="20"/>
          <w:szCs w:val="20"/>
        </w:rPr>
      </w:pPr>
      <w:r w:rsidRPr="00841653">
        <w:rPr>
          <w:rFonts w:ascii="Arial" w:hAnsi="Arial" w:cs="Arial"/>
          <w:color w:val="010000"/>
          <w:sz w:val="20"/>
        </w:rPr>
        <w:t xml:space="preserve">The number of employees in the company is relatively small and continues to be calculated and arranged to suit production and business realities, so the company reduces pressure on labor and insurance costs..., thereby allowing conditions to improve income for workers, </w:t>
      </w:r>
      <w:r w:rsidR="004E6ADE">
        <w:rPr>
          <w:rFonts w:ascii="Arial" w:hAnsi="Arial" w:cs="Arial"/>
          <w:color w:val="010000"/>
          <w:sz w:val="20"/>
        </w:rPr>
        <w:t xml:space="preserve">and </w:t>
      </w:r>
      <w:r w:rsidRPr="00841653">
        <w:rPr>
          <w:rFonts w:ascii="Arial" w:hAnsi="Arial" w:cs="Arial"/>
          <w:color w:val="010000"/>
          <w:sz w:val="20"/>
        </w:rPr>
        <w:t>increase labor productivity.</w:t>
      </w:r>
    </w:p>
    <w:p w14:paraId="0000001C" w14:textId="77777777" w:rsidR="004153B8" w:rsidRPr="00841653" w:rsidRDefault="0069495E" w:rsidP="0036353A">
      <w:pPr>
        <w:numPr>
          <w:ilvl w:val="0"/>
          <w:numId w:val="4"/>
        </w:numPr>
        <w:pBdr>
          <w:top w:val="nil"/>
          <w:left w:val="nil"/>
          <w:bottom w:val="nil"/>
          <w:right w:val="nil"/>
          <w:between w:val="nil"/>
        </w:pBdr>
        <w:tabs>
          <w:tab w:val="left" w:pos="432"/>
          <w:tab w:val="left" w:pos="755"/>
        </w:tabs>
        <w:spacing w:after="120" w:line="360" w:lineRule="auto"/>
        <w:jc w:val="both"/>
        <w:rPr>
          <w:rFonts w:ascii="Arial" w:eastAsia="Arial" w:hAnsi="Arial" w:cs="Arial"/>
          <w:color w:val="010000"/>
          <w:sz w:val="20"/>
          <w:szCs w:val="20"/>
        </w:rPr>
      </w:pPr>
      <w:r w:rsidRPr="00841653">
        <w:rPr>
          <w:rFonts w:ascii="Arial" w:hAnsi="Arial" w:cs="Arial"/>
          <w:color w:val="010000"/>
          <w:sz w:val="20"/>
        </w:rPr>
        <w:t>The company has funds received from the State's support and compensation for the recovered area. With this capital, the company will develop an effective use plan and bring the best benefits to shareholders.</w:t>
      </w:r>
    </w:p>
    <w:p w14:paraId="0000001D" w14:textId="77777777" w:rsidR="004153B8" w:rsidRPr="00841653" w:rsidRDefault="0069495E" w:rsidP="0036353A">
      <w:pPr>
        <w:numPr>
          <w:ilvl w:val="0"/>
          <w:numId w:val="4"/>
        </w:numPr>
        <w:pBdr>
          <w:top w:val="nil"/>
          <w:left w:val="nil"/>
          <w:bottom w:val="nil"/>
          <w:right w:val="nil"/>
          <w:between w:val="nil"/>
        </w:pBdr>
        <w:tabs>
          <w:tab w:val="left" w:pos="432"/>
          <w:tab w:val="left" w:pos="755"/>
        </w:tabs>
        <w:spacing w:after="120" w:line="360" w:lineRule="auto"/>
        <w:jc w:val="both"/>
        <w:rPr>
          <w:rFonts w:ascii="Arial" w:eastAsia="Arial" w:hAnsi="Arial" w:cs="Arial"/>
          <w:color w:val="010000"/>
          <w:sz w:val="20"/>
          <w:szCs w:val="20"/>
        </w:rPr>
      </w:pPr>
      <w:r w:rsidRPr="00841653">
        <w:rPr>
          <w:rFonts w:ascii="Arial" w:hAnsi="Arial" w:cs="Arial"/>
          <w:color w:val="010000"/>
          <w:sz w:val="20"/>
        </w:rPr>
        <w:t>From February 2024, the Company has leased the entire remaining infrastructure after part of the area was recovered at a relatively good price that can bring profit to the Company in 2024 after many years of loss.</w:t>
      </w:r>
    </w:p>
    <w:p w14:paraId="0000001E" w14:textId="77777777" w:rsidR="004153B8" w:rsidRPr="00841653" w:rsidRDefault="0069495E" w:rsidP="0036353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1653">
        <w:rPr>
          <w:rFonts w:ascii="Arial" w:hAnsi="Arial" w:cs="Arial"/>
          <w:color w:val="010000"/>
          <w:sz w:val="20"/>
        </w:rPr>
        <w:t>Article 3: Approve the Financial Statements 2023 audited by An Viet Auditing Company Limited</w:t>
      </w:r>
    </w:p>
    <w:p w14:paraId="0000001F" w14:textId="77777777" w:rsidR="004153B8" w:rsidRPr="00841653" w:rsidRDefault="0069495E" w:rsidP="0036353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1653">
        <w:rPr>
          <w:rFonts w:ascii="Arial" w:hAnsi="Arial" w:cs="Arial"/>
          <w:color w:val="010000"/>
          <w:sz w:val="20"/>
        </w:rPr>
        <w:t>Article 4: Approve the Report on Activities of the Board of Directors in 2023 and the orientation in 2024</w:t>
      </w:r>
    </w:p>
    <w:p w14:paraId="00000020" w14:textId="77777777" w:rsidR="004153B8" w:rsidRPr="00841653" w:rsidRDefault="0069495E" w:rsidP="0036353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1653">
        <w:rPr>
          <w:rFonts w:ascii="Arial" w:hAnsi="Arial" w:cs="Arial"/>
          <w:color w:val="010000"/>
          <w:sz w:val="20"/>
        </w:rPr>
        <w:t>Article 5: Approving the Report on salary and remuneration of members of the Board of Directors and Supervisory Board in 2023</w:t>
      </w:r>
    </w:p>
    <w:p w14:paraId="00000021" w14:textId="77777777" w:rsidR="004153B8" w:rsidRPr="00841653" w:rsidRDefault="0069495E" w:rsidP="0036353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1653">
        <w:rPr>
          <w:rFonts w:ascii="Arial" w:hAnsi="Arial" w:cs="Arial"/>
          <w:color w:val="010000"/>
          <w:sz w:val="20"/>
        </w:rPr>
        <w:t>Article 6: Approve the Report on the performance of the Supervisory Board in 2023</w:t>
      </w:r>
    </w:p>
    <w:p w14:paraId="00000022" w14:textId="77777777" w:rsidR="004153B8" w:rsidRPr="00841653" w:rsidRDefault="0069495E" w:rsidP="0036353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1653">
        <w:rPr>
          <w:rFonts w:ascii="Arial" w:hAnsi="Arial" w:cs="Arial"/>
          <w:color w:val="010000"/>
          <w:sz w:val="20"/>
        </w:rPr>
        <w:t>Article 7: Approve the salary and remuneration plan for members of the Board of Directors and Supervisory Board in 2024. In details:</w:t>
      </w:r>
    </w:p>
    <w:p w14:paraId="00000023" w14:textId="77777777" w:rsidR="004153B8" w:rsidRPr="00841653" w:rsidRDefault="0069495E" w:rsidP="0036353A">
      <w:pPr>
        <w:numPr>
          <w:ilvl w:val="0"/>
          <w:numId w:val="1"/>
        </w:numPr>
        <w:pBdr>
          <w:top w:val="nil"/>
          <w:left w:val="nil"/>
          <w:bottom w:val="nil"/>
          <w:right w:val="nil"/>
          <w:between w:val="nil"/>
        </w:pBdr>
        <w:tabs>
          <w:tab w:val="left" w:pos="432"/>
          <w:tab w:val="left" w:pos="845"/>
        </w:tabs>
        <w:spacing w:after="120" w:line="360" w:lineRule="auto"/>
        <w:jc w:val="both"/>
        <w:rPr>
          <w:rFonts w:ascii="Arial" w:eastAsia="Arial" w:hAnsi="Arial" w:cs="Arial"/>
          <w:color w:val="010000"/>
          <w:sz w:val="20"/>
          <w:szCs w:val="20"/>
        </w:rPr>
      </w:pPr>
      <w:r w:rsidRPr="00841653">
        <w:rPr>
          <w:rFonts w:ascii="Arial" w:hAnsi="Arial" w:cs="Arial"/>
          <w:color w:val="010000"/>
          <w:sz w:val="20"/>
        </w:rPr>
        <w:t>Remuneration for the Board of Directors and Supervisory Board: The non-executive Chair of the Board of Directors is equal to 20% of the salary of the Manager of the Company, members of the Board of Directors are equal to 20% of the salary of the Deputy Manager of the Company, members of the Supervisory Board are equal to 70% of the salary of members of the Board of Directors.</w:t>
      </w:r>
    </w:p>
    <w:p w14:paraId="00000024" w14:textId="77777777" w:rsidR="004153B8" w:rsidRPr="00841653" w:rsidRDefault="0069495E" w:rsidP="0036353A">
      <w:pPr>
        <w:numPr>
          <w:ilvl w:val="0"/>
          <w:numId w:val="4"/>
        </w:numPr>
        <w:pBdr>
          <w:top w:val="nil"/>
          <w:left w:val="nil"/>
          <w:bottom w:val="nil"/>
          <w:right w:val="nil"/>
          <w:between w:val="nil"/>
        </w:pBdr>
        <w:tabs>
          <w:tab w:val="left" w:pos="432"/>
          <w:tab w:val="left" w:pos="726"/>
        </w:tabs>
        <w:spacing w:after="120" w:line="360" w:lineRule="auto"/>
        <w:jc w:val="both"/>
        <w:rPr>
          <w:rFonts w:ascii="Arial" w:eastAsia="Arial" w:hAnsi="Arial" w:cs="Arial"/>
          <w:color w:val="010000"/>
          <w:sz w:val="20"/>
          <w:szCs w:val="20"/>
        </w:rPr>
      </w:pPr>
      <w:r w:rsidRPr="00841653">
        <w:rPr>
          <w:rFonts w:ascii="Arial" w:hAnsi="Arial" w:cs="Arial"/>
          <w:color w:val="010000"/>
          <w:sz w:val="20"/>
        </w:rPr>
        <w:t>Remuneration method for members of the Board of Directors and Supervisory Board of the Company in 2024: Temporarily the above remuneration has not been paid. At the end of the fiscal year 2024, if the Company completes the production and business plan assigned by the General Meeting of Shareholders, the Board of Directors and Supervisory Board will receive remuneration. If the Company does not complete the plan, they will not receive remuneration.</w:t>
      </w:r>
    </w:p>
    <w:p w14:paraId="00000025" w14:textId="31BCC36D" w:rsidR="004153B8" w:rsidRPr="00841653" w:rsidRDefault="0069495E" w:rsidP="0036353A">
      <w:pPr>
        <w:keepNext/>
        <w:numPr>
          <w:ilvl w:val="0"/>
          <w:numId w:val="1"/>
        </w:numPr>
        <w:pBdr>
          <w:top w:val="nil"/>
          <w:left w:val="nil"/>
          <w:bottom w:val="nil"/>
          <w:right w:val="nil"/>
          <w:between w:val="nil"/>
        </w:pBdr>
        <w:tabs>
          <w:tab w:val="left" w:pos="432"/>
          <w:tab w:val="left" w:pos="923"/>
        </w:tabs>
        <w:spacing w:after="120" w:line="360" w:lineRule="auto"/>
        <w:jc w:val="both"/>
        <w:rPr>
          <w:rFonts w:ascii="Arial" w:eastAsia="Arial" w:hAnsi="Arial" w:cs="Arial"/>
          <w:color w:val="010000"/>
          <w:sz w:val="20"/>
          <w:szCs w:val="20"/>
        </w:rPr>
      </w:pPr>
      <w:r w:rsidRPr="00841653">
        <w:rPr>
          <w:rFonts w:ascii="Arial" w:hAnsi="Arial" w:cs="Arial"/>
          <w:color w:val="010000"/>
          <w:sz w:val="20"/>
        </w:rPr>
        <w:t xml:space="preserve">Salary of the </w:t>
      </w:r>
      <w:r w:rsidR="004E6ADE">
        <w:rPr>
          <w:rFonts w:ascii="Arial" w:hAnsi="Arial" w:cs="Arial"/>
          <w:color w:val="010000"/>
          <w:sz w:val="20"/>
        </w:rPr>
        <w:t>Executive</w:t>
      </w:r>
      <w:r w:rsidRPr="00841653">
        <w:rPr>
          <w:rFonts w:ascii="Arial" w:hAnsi="Arial" w:cs="Arial"/>
          <w:color w:val="010000"/>
          <w:sz w:val="20"/>
        </w:rPr>
        <w:t xml:space="preserve"> Chair of the Board of Directors, </w:t>
      </w:r>
      <w:r w:rsidR="004E6ADE">
        <w:rPr>
          <w:rFonts w:ascii="Arial" w:hAnsi="Arial" w:cs="Arial"/>
          <w:color w:val="010000"/>
          <w:sz w:val="20"/>
        </w:rPr>
        <w:t>and Executive</w:t>
      </w:r>
      <w:bookmarkStart w:id="0" w:name="_GoBack"/>
      <w:bookmarkEnd w:id="0"/>
      <w:r w:rsidRPr="00841653">
        <w:rPr>
          <w:rFonts w:ascii="Arial" w:hAnsi="Arial" w:cs="Arial"/>
          <w:color w:val="010000"/>
          <w:sz w:val="20"/>
        </w:rPr>
        <w:t xml:space="preserve"> Chief of the Supervisory Board:</w:t>
      </w:r>
    </w:p>
    <w:p w14:paraId="00000026" w14:textId="77777777" w:rsidR="004153B8" w:rsidRPr="00841653" w:rsidRDefault="0069495E" w:rsidP="0036353A">
      <w:pPr>
        <w:numPr>
          <w:ilvl w:val="0"/>
          <w:numId w:val="4"/>
        </w:numPr>
        <w:pBdr>
          <w:top w:val="nil"/>
          <w:left w:val="nil"/>
          <w:bottom w:val="nil"/>
          <w:right w:val="nil"/>
          <w:between w:val="nil"/>
        </w:pBdr>
        <w:tabs>
          <w:tab w:val="left" w:pos="432"/>
          <w:tab w:val="left" w:pos="715"/>
        </w:tabs>
        <w:spacing w:after="120" w:line="360" w:lineRule="auto"/>
        <w:jc w:val="both"/>
        <w:rPr>
          <w:rFonts w:ascii="Arial" w:eastAsia="Arial" w:hAnsi="Arial" w:cs="Arial"/>
          <w:color w:val="010000"/>
          <w:sz w:val="20"/>
          <w:szCs w:val="20"/>
        </w:rPr>
      </w:pPr>
      <w:r w:rsidRPr="00841653">
        <w:rPr>
          <w:rFonts w:ascii="Arial" w:hAnsi="Arial" w:cs="Arial"/>
          <w:color w:val="010000"/>
          <w:sz w:val="20"/>
        </w:rPr>
        <w:t xml:space="preserve">Executive Chair of the Board of Directors: The salary is equal to 105% of the salary of the </w:t>
      </w:r>
      <w:r w:rsidRPr="00841653">
        <w:rPr>
          <w:rFonts w:ascii="Arial" w:hAnsi="Arial" w:cs="Arial"/>
          <w:color w:val="010000"/>
          <w:sz w:val="20"/>
        </w:rPr>
        <w:lastRenderedPageBreak/>
        <w:t>Company’s Manager.</w:t>
      </w:r>
    </w:p>
    <w:p w14:paraId="00000027" w14:textId="77777777" w:rsidR="004153B8" w:rsidRPr="00841653" w:rsidRDefault="0069495E" w:rsidP="0036353A">
      <w:pPr>
        <w:numPr>
          <w:ilvl w:val="0"/>
          <w:numId w:val="4"/>
        </w:numPr>
        <w:pBdr>
          <w:top w:val="nil"/>
          <w:left w:val="nil"/>
          <w:bottom w:val="nil"/>
          <w:right w:val="nil"/>
          <w:between w:val="nil"/>
        </w:pBdr>
        <w:tabs>
          <w:tab w:val="left" w:pos="432"/>
          <w:tab w:val="left" w:pos="722"/>
        </w:tabs>
        <w:spacing w:after="120" w:line="360" w:lineRule="auto"/>
        <w:jc w:val="both"/>
        <w:rPr>
          <w:rFonts w:ascii="Arial" w:eastAsia="Arial" w:hAnsi="Arial" w:cs="Arial"/>
          <w:color w:val="010000"/>
          <w:sz w:val="20"/>
          <w:szCs w:val="20"/>
        </w:rPr>
      </w:pPr>
      <w:r w:rsidRPr="00841653">
        <w:rPr>
          <w:rFonts w:ascii="Arial" w:hAnsi="Arial" w:cs="Arial"/>
          <w:color w:val="010000"/>
          <w:sz w:val="20"/>
        </w:rPr>
        <w:t>Executive Chief of the Supervisory Board: The salary is equal to the salary of the Company's Chief Accountant.</w:t>
      </w:r>
    </w:p>
    <w:p w14:paraId="00000028" w14:textId="77777777" w:rsidR="004153B8" w:rsidRPr="00841653" w:rsidRDefault="0069495E" w:rsidP="0036353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1653">
        <w:rPr>
          <w:rFonts w:ascii="Arial" w:hAnsi="Arial" w:cs="Arial"/>
          <w:color w:val="010000"/>
          <w:sz w:val="20"/>
        </w:rPr>
        <w:t>Article 8: Approve the Proposals on transactions between the Company and related parties</w:t>
      </w:r>
    </w:p>
    <w:p w14:paraId="00000029" w14:textId="77777777" w:rsidR="004153B8" w:rsidRPr="00841653" w:rsidRDefault="0069495E" w:rsidP="0036353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1653">
        <w:rPr>
          <w:rFonts w:ascii="Arial" w:hAnsi="Arial" w:cs="Arial"/>
          <w:color w:val="010000"/>
          <w:sz w:val="20"/>
        </w:rPr>
        <w:t>Article 9: Approve the Supervisory Board's request to authorize the Board of Directors of the Company to select one of the following auditing companies to audit the Company's Financial Statements 2024:</w:t>
      </w:r>
    </w:p>
    <w:p w14:paraId="0000002A" w14:textId="77777777" w:rsidR="004153B8" w:rsidRPr="00841653" w:rsidRDefault="0069495E" w:rsidP="0036353A">
      <w:pPr>
        <w:numPr>
          <w:ilvl w:val="0"/>
          <w:numId w:val="4"/>
        </w:numPr>
        <w:pBdr>
          <w:top w:val="nil"/>
          <w:left w:val="nil"/>
          <w:bottom w:val="nil"/>
          <w:right w:val="nil"/>
          <w:between w:val="nil"/>
        </w:pBdr>
        <w:tabs>
          <w:tab w:val="left" w:pos="432"/>
          <w:tab w:val="left" w:pos="861"/>
        </w:tabs>
        <w:spacing w:after="120" w:line="360" w:lineRule="auto"/>
        <w:jc w:val="both"/>
        <w:rPr>
          <w:rFonts w:ascii="Arial" w:eastAsia="Arial" w:hAnsi="Arial" w:cs="Arial"/>
          <w:color w:val="010000"/>
          <w:sz w:val="20"/>
          <w:szCs w:val="20"/>
        </w:rPr>
      </w:pPr>
      <w:r w:rsidRPr="00841653">
        <w:rPr>
          <w:rFonts w:ascii="Arial" w:hAnsi="Arial" w:cs="Arial"/>
          <w:color w:val="010000"/>
          <w:sz w:val="20"/>
        </w:rPr>
        <w:t>KPMG Limited</w:t>
      </w:r>
    </w:p>
    <w:p w14:paraId="0000002B" w14:textId="77777777" w:rsidR="004153B8" w:rsidRPr="00841653" w:rsidRDefault="0069495E" w:rsidP="0036353A">
      <w:pPr>
        <w:numPr>
          <w:ilvl w:val="0"/>
          <w:numId w:val="4"/>
        </w:numPr>
        <w:pBdr>
          <w:top w:val="nil"/>
          <w:left w:val="nil"/>
          <w:bottom w:val="nil"/>
          <w:right w:val="nil"/>
          <w:between w:val="nil"/>
        </w:pBdr>
        <w:tabs>
          <w:tab w:val="left" w:pos="432"/>
          <w:tab w:val="left" w:pos="861"/>
        </w:tabs>
        <w:spacing w:after="120" w:line="360" w:lineRule="auto"/>
        <w:jc w:val="both"/>
        <w:rPr>
          <w:rFonts w:ascii="Arial" w:eastAsia="Arial" w:hAnsi="Arial" w:cs="Arial"/>
          <w:color w:val="010000"/>
          <w:sz w:val="20"/>
          <w:szCs w:val="20"/>
        </w:rPr>
      </w:pPr>
      <w:r w:rsidRPr="00841653">
        <w:rPr>
          <w:rFonts w:ascii="Arial" w:hAnsi="Arial" w:cs="Arial"/>
          <w:color w:val="010000"/>
          <w:sz w:val="20"/>
        </w:rPr>
        <w:t>An Viet Auditing Company Limited</w:t>
      </w:r>
    </w:p>
    <w:p w14:paraId="0000002C" w14:textId="77777777" w:rsidR="004153B8" w:rsidRPr="00841653" w:rsidRDefault="0069495E" w:rsidP="0036353A">
      <w:pPr>
        <w:numPr>
          <w:ilvl w:val="0"/>
          <w:numId w:val="4"/>
        </w:numPr>
        <w:pBdr>
          <w:top w:val="nil"/>
          <w:left w:val="nil"/>
          <w:bottom w:val="nil"/>
          <w:right w:val="nil"/>
          <w:between w:val="nil"/>
        </w:pBdr>
        <w:tabs>
          <w:tab w:val="left" w:pos="432"/>
          <w:tab w:val="left" w:pos="861"/>
        </w:tabs>
        <w:spacing w:after="120" w:line="360" w:lineRule="auto"/>
        <w:jc w:val="both"/>
        <w:rPr>
          <w:rFonts w:ascii="Arial" w:eastAsia="Arial" w:hAnsi="Arial" w:cs="Arial"/>
          <w:color w:val="010000"/>
          <w:sz w:val="20"/>
          <w:szCs w:val="20"/>
        </w:rPr>
      </w:pPr>
      <w:r w:rsidRPr="00841653">
        <w:rPr>
          <w:rFonts w:ascii="Arial" w:hAnsi="Arial" w:cs="Arial"/>
          <w:color w:val="010000"/>
          <w:sz w:val="20"/>
        </w:rPr>
        <w:t>CPA Vietnam Auditing Company Limited.</w:t>
      </w:r>
    </w:p>
    <w:p w14:paraId="0000002D" w14:textId="77777777" w:rsidR="004153B8" w:rsidRPr="00841653" w:rsidRDefault="0069495E" w:rsidP="0036353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1653">
        <w:rPr>
          <w:rFonts w:ascii="Arial" w:hAnsi="Arial" w:cs="Arial"/>
          <w:color w:val="010000"/>
          <w:sz w:val="20"/>
        </w:rPr>
        <w:t>Article 10: Terms of enforcement:</w:t>
      </w:r>
    </w:p>
    <w:p w14:paraId="0000002E" w14:textId="6C64C248" w:rsidR="004153B8" w:rsidRPr="00841653" w:rsidRDefault="0069495E" w:rsidP="0036353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1653">
        <w:rPr>
          <w:rFonts w:ascii="Arial" w:hAnsi="Arial" w:cs="Arial"/>
          <w:color w:val="010000"/>
          <w:sz w:val="20"/>
        </w:rPr>
        <w:t xml:space="preserve">This General Mandate </w:t>
      </w:r>
      <w:r w:rsidR="006C318E" w:rsidRPr="00841653">
        <w:rPr>
          <w:rFonts w:ascii="Arial" w:hAnsi="Arial" w:cs="Arial"/>
          <w:color w:val="010000"/>
          <w:sz w:val="20"/>
        </w:rPr>
        <w:t>was</w:t>
      </w:r>
      <w:r w:rsidRPr="00841653">
        <w:rPr>
          <w:rFonts w:ascii="Arial" w:hAnsi="Arial" w:cs="Arial"/>
          <w:color w:val="010000"/>
          <w:sz w:val="20"/>
        </w:rPr>
        <w:t xml:space="preserve"> approved by the Annual General Meeting of Shareholders 2024 and takes effect from April 12, 2024.</w:t>
      </w:r>
    </w:p>
    <w:p w14:paraId="0000002F" w14:textId="77777777" w:rsidR="004153B8" w:rsidRPr="0069495E" w:rsidRDefault="0069495E" w:rsidP="0036353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1653">
        <w:rPr>
          <w:rFonts w:ascii="Arial" w:hAnsi="Arial" w:cs="Arial"/>
          <w:color w:val="010000"/>
          <w:sz w:val="20"/>
        </w:rPr>
        <w:t>The Board of Directors and Supervisory Board of Hai Phong Cua Cam Port Joint Stock Company are responsible for organizing and implementing the contents of this General Mandate.</w:t>
      </w:r>
    </w:p>
    <w:sectPr w:rsidR="004153B8" w:rsidRPr="0069495E" w:rsidSect="0069495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3C7D61"/>
    <w:multiLevelType w:val="multilevel"/>
    <w:tmpl w:val="8252238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C7103D5"/>
    <w:multiLevelType w:val="multilevel"/>
    <w:tmpl w:val="8DD4879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0F65316"/>
    <w:multiLevelType w:val="multilevel"/>
    <w:tmpl w:val="5C4EB60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8B707DC"/>
    <w:multiLevelType w:val="multilevel"/>
    <w:tmpl w:val="47F2876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79701196"/>
    <w:multiLevelType w:val="multilevel"/>
    <w:tmpl w:val="C4F0D5A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C5A614E"/>
    <w:multiLevelType w:val="multilevel"/>
    <w:tmpl w:val="8D20A2B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B8"/>
    <w:rsid w:val="0036353A"/>
    <w:rsid w:val="004153B8"/>
    <w:rsid w:val="004E6ADE"/>
    <w:rsid w:val="0069495E"/>
    <w:rsid w:val="006C318E"/>
    <w:rsid w:val="00841653"/>
    <w:rsid w:val="00F8071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7C2BD"/>
  <w15:docId w15:val="{A5EEDA24-3838-469B-AF23-6FDA0A64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iCs/>
      <w:smallCaps w:val="0"/>
      <w:strike w:val="0"/>
      <w:u w:val="none"/>
      <w:shd w:val="clear" w:color="auto" w:fill="auto"/>
    </w:rPr>
  </w:style>
  <w:style w:type="paragraph" w:customStyle="1" w:styleId="Vnbnnidung20">
    <w:name w:val="Văn bản nội dung (2)"/>
    <w:basedOn w:val="Normal"/>
    <w:link w:val="Vnbnnidung2"/>
    <w:pPr>
      <w:ind w:firstLine="600"/>
    </w:pPr>
    <w:rPr>
      <w:rFonts w:ascii="Times New Roman" w:eastAsia="Times New Roman" w:hAnsi="Times New Roman" w:cs="Times New Roman"/>
      <w:b/>
      <w:bCs/>
      <w:sz w:val="20"/>
      <w:szCs w:val="20"/>
    </w:rPr>
  </w:style>
  <w:style w:type="paragraph" w:customStyle="1" w:styleId="Vnbnnidung0">
    <w:name w:val="Văn bản nội dung"/>
    <w:basedOn w:val="Normal"/>
    <w:link w:val="Vnbnnidung"/>
    <w:pPr>
      <w:ind w:firstLine="400"/>
    </w:pPr>
    <w:rPr>
      <w:rFonts w:ascii="Times New Roman" w:eastAsia="Times New Roman" w:hAnsi="Times New Roman" w:cs="Times New Roman"/>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8"/>
      <w:szCs w:val="28"/>
    </w:rPr>
  </w:style>
  <w:style w:type="paragraph" w:customStyle="1" w:styleId="Tiu20">
    <w:name w:val="Tiêu đề #2"/>
    <w:basedOn w:val="Normal"/>
    <w:link w:val="Tiu2"/>
    <w:pPr>
      <w:ind w:firstLine="640"/>
      <w:outlineLvl w:val="1"/>
    </w:pPr>
    <w:rPr>
      <w:rFonts w:ascii="Times New Roman" w:eastAsia="Times New Roman" w:hAnsi="Times New Roman" w:cs="Times New Roman"/>
      <w:b/>
      <w:bCs/>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Nd9a0Xn9v+Sbwo9fq8XTO1ELpA==">CgMxLjA4AHIhMUFYQnFEdTRlUGt2VlMwT2R0eHdWNWlobGQzdzBWX0pJ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882</Words>
  <Characters>4494</Characters>
  <Application>Microsoft Office Word</Application>
  <DocSecurity>0</DocSecurity>
  <Lines>83</Lines>
  <Paragraphs>47</Paragraphs>
  <ScaleCrop>false</ScaleCrop>
  <Company/>
  <LinksUpToDate>false</LinksUpToDate>
  <CharactersWithSpaces>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7</cp:revision>
  <dcterms:created xsi:type="dcterms:W3CDTF">2024-04-16T04:36:00Z</dcterms:created>
  <dcterms:modified xsi:type="dcterms:W3CDTF">2024-04-19T04:16:00Z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b7b0eeb0e513a8156126abcdb70ea7a21a048e74e30bb32344215f75d1b81780</vt:lpwstr>
  </property>
</Properties>
</file>